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1A" w:rsidRPr="00CF43A7" w:rsidRDefault="004C0F1A" w:rsidP="00536D68">
      <w:pPr>
        <w:widowControl/>
        <w:adjustRightInd w:val="0"/>
        <w:snapToGrid w:val="0"/>
        <w:spacing w:line="34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金蝶KIS云·专业版</w:t>
      </w:r>
      <w:r w:rsidR="00793D9A">
        <w:rPr>
          <w:rFonts w:ascii="仿宋_GB2312" w:eastAsia="仿宋_GB2312" w:hAnsi="宋体" w:cs="宋体" w:hint="eastAsia"/>
          <w:kern w:val="0"/>
          <w:sz w:val="24"/>
          <w:szCs w:val="24"/>
        </w:rPr>
        <w:t>V16.0</w:t>
      </w:r>
      <w:r>
        <w:rPr>
          <w:rFonts w:ascii="仿宋_GB2312" w:eastAsia="仿宋_GB2312" w:hAnsi="宋体" w:cs="宋体" w:hint="eastAsia"/>
          <w:kern w:val="0"/>
          <w:sz w:val="24"/>
          <w:szCs w:val="24"/>
        </w:rPr>
        <w:t xml:space="preserve">                                                               </w:t>
      </w:r>
      <w:r w:rsidR="00793D9A">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 xml:space="preserve"> </w:t>
      </w:r>
      <w:r w:rsidR="001A0E8F">
        <w:rPr>
          <w:rFonts w:ascii="仿宋_GB2312" w:eastAsia="仿宋_GB2312" w:hAnsi="宋体" w:cs="宋体" w:hint="eastAsia"/>
          <w:kern w:val="0"/>
          <w:sz w:val="24"/>
          <w:szCs w:val="24"/>
        </w:rPr>
        <w:t xml:space="preserve">         </w:t>
      </w:r>
    </w:p>
    <w:tbl>
      <w:tblPr>
        <w:tblpPr w:leftFromText="180" w:rightFromText="180" w:vertAnchor="text" w:tblpX="108" w:tblpY="1"/>
        <w:tblOverlap w:val="never"/>
        <w:tblW w:w="16126" w:type="dxa"/>
        <w:tblLook w:val="04A0"/>
      </w:tblPr>
      <w:tblGrid>
        <w:gridCol w:w="1134"/>
        <w:gridCol w:w="1384"/>
        <w:gridCol w:w="13608"/>
      </w:tblGrid>
      <w:tr w:rsidR="00FE197D" w:rsidTr="00004C00">
        <w:trPr>
          <w:trHeight w:val="240"/>
        </w:trPr>
        <w:tc>
          <w:tcPr>
            <w:tcW w:w="1134"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FE197D" w:rsidRDefault="00FE197D" w:rsidP="00FE197D">
            <w:pPr>
              <w:widowControl/>
              <w:jc w:val="center"/>
              <w:rPr>
                <w:rFonts w:ascii="宋体" w:hAnsi="宋体" w:cs="宋体"/>
                <w:b/>
                <w:bCs/>
                <w:color w:val="000000"/>
                <w:kern w:val="0"/>
                <w:szCs w:val="21"/>
              </w:rPr>
            </w:pPr>
            <w:r>
              <w:rPr>
                <w:rFonts w:ascii="宋体" w:hAnsi="宋体" w:cs="宋体" w:hint="eastAsia"/>
                <w:b/>
                <w:bCs/>
                <w:color w:val="000000"/>
                <w:kern w:val="0"/>
                <w:szCs w:val="21"/>
              </w:rPr>
              <w:t>产品名称</w:t>
            </w:r>
          </w:p>
        </w:tc>
        <w:tc>
          <w:tcPr>
            <w:tcW w:w="1384" w:type="dxa"/>
            <w:tcBorders>
              <w:top w:val="single" w:sz="4" w:space="0" w:color="auto"/>
              <w:left w:val="nil"/>
              <w:bottom w:val="single" w:sz="4" w:space="0" w:color="auto"/>
              <w:right w:val="single" w:sz="4" w:space="0" w:color="auto"/>
            </w:tcBorders>
            <w:shd w:val="clear" w:color="auto" w:fill="CCFFCC"/>
            <w:noWrap/>
            <w:vAlign w:val="center"/>
            <w:hideMark/>
          </w:tcPr>
          <w:p w:rsidR="00FE197D" w:rsidRDefault="00FE197D" w:rsidP="00FE197D">
            <w:pPr>
              <w:widowControl/>
              <w:jc w:val="center"/>
              <w:rPr>
                <w:rFonts w:ascii="宋体" w:hAnsi="宋体" w:cs="宋体"/>
                <w:b/>
                <w:bCs/>
                <w:color w:val="000000"/>
                <w:kern w:val="0"/>
                <w:szCs w:val="21"/>
              </w:rPr>
            </w:pPr>
            <w:r>
              <w:rPr>
                <w:rFonts w:ascii="宋体" w:hAnsi="宋体" w:cs="宋体"/>
                <w:kern w:val="0"/>
                <w:szCs w:val="21"/>
              </w:rPr>
              <w:t>模块名称</w:t>
            </w:r>
          </w:p>
        </w:tc>
        <w:tc>
          <w:tcPr>
            <w:tcW w:w="13608" w:type="dxa"/>
            <w:tcBorders>
              <w:top w:val="single" w:sz="4" w:space="0" w:color="auto"/>
              <w:left w:val="nil"/>
              <w:bottom w:val="single" w:sz="4" w:space="0" w:color="auto"/>
              <w:right w:val="single" w:sz="4" w:space="0" w:color="auto"/>
            </w:tcBorders>
            <w:shd w:val="clear" w:color="auto" w:fill="CCFFCC"/>
            <w:vAlign w:val="center"/>
          </w:tcPr>
          <w:p w:rsidR="00FE197D" w:rsidRDefault="00B444AF" w:rsidP="00FE197D">
            <w:pPr>
              <w:jc w:val="center"/>
              <w:rPr>
                <w:rFonts w:ascii="宋体" w:hAnsi="宋体" w:cs="宋体"/>
                <w:b/>
                <w:bCs/>
                <w:color w:val="000000"/>
                <w:kern w:val="0"/>
                <w:szCs w:val="21"/>
              </w:rPr>
            </w:pPr>
            <w:r>
              <w:rPr>
                <w:rFonts w:ascii="宋体" w:hAnsi="宋体" w:cs="宋体" w:hint="eastAsia"/>
                <w:b/>
                <w:bCs/>
                <w:color w:val="000000"/>
                <w:kern w:val="0"/>
                <w:szCs w:val="21"/>
              </w:rPr>
              <w:t>模块功能简介</w:t>
            </w:r>
          </w:p>
        </w:tc>
      </w:tr>
      <w:tr w:rsidR="00FE197D" w:rsidRPr="00536D68" w:rsidTr="00004C00">
        <w:trPr>
          <w:trHeight w:val="318"/>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E197D" w:rsidRDefault="00FE197D" w:rsidP="00FE197D">
            <w:pPr>
              <w:jc w:val="center"/>
              <w:rPr>
                <w:rFonts w:ascii="宋体" w:hAnsi="宋体" w:cs="宋体"/>
                <w:kern w:val="0"/>
                <w:szCs w:val="21"/>
              </w:rPr>
            </w:pPr>
            <w:r>
              <w:rPr>
                <w:rFonts w:ascii="宋体" w:hAnsi="宋体" w:cs="宋体" w:hint="eastAsia"/>
                <w:kern w:val="0"/>
                <w:szCs w:val="21"/>
              </w:rPr>
              <w:t>金蝶KIS云·专业版V16.0</w:t>
            </w:r>
            <w:r>
              <w:rPr>
                <w:rFonts w:ascii="宋体" w:hAnsi="宋体" w:cs="宋体" w:hint="eastAsia"/>
                <w:kern w:val="0"/>
                <w:szCs w:val="21"/>
              </w:rPr>
              <w:br/>
            </w:r>
          </w:p>
        </w:tc>
        <w:tc>
          <w:tcPr>
            <w:tcW w:w="1384" w:type="dxa"/>
            <w:tcBorders>
              <w:top w:val="single" w:sz="4" w:space="0" w:color="auto"/>
              <w:left w:val="nil"/>
              <w:bottom w:val="single" w:sz="4" w:space="0" w:color="auto"/>
              <w:right w:val="single" w:sz="4" w:space="0" w:color="auto"/>
            </w:tcBorders>
            <w:noWrap/>
            <w:vAlign w:val="center"/>
            <w:hideMark/>
          </w:tcPr>
          <w:p w:rsidR="00FE197D" w:rsidRDefault="00FE197D" w:rsidP="00FE197D">
            <w:pPr>
              <w:rPr>
                <w:rFonts w:ascii="宋体" w:hAnsi="宋体" w:cs="宋体"/>
                <w:kern w:val="0"/>
                <w:szCs w:val="21"/>
              </w:rPr>
            </w:pPr>
            <w:r>
              <w:rPr>
                <w:rFonts w:ascii="宋体" w:hAnsi="宋体" w:cs="宋体" w:hint="eastAsia"/>
                <w:kern w:val="0"/>
                <w:szCs w:val="21"/>
              </w:rPr>
              <w:t>总帐</w:t>
            </w:r>
          </w:p>
        </w:tc>
        <w:tc>
          <w:tcPr>
            <w:tcW w:w="13608" w:type="dxa"/>
            <w:tcBorders>
              <w:top w:val="nil"/>
              <w:left w:val="nil"/>
              <w:bottom w:val="single" w:sz="4" w:space="0" w:color="auto"/>
              <w:right w:val="single" w:sz="4" w:space="0" w:color="auto"/>
            </w:tcBorders>
            <w:vAlign w:val="center"/>
          </w:tcPr>
          <w:p w:rsidR="00FE197D" w:rsidRPr="004F7D6A" w:rsidRDefault="00FE197D" w:rsidP="00FE197D">
            <w:pPr>
              <w:widowControl/>
              <w:snapToGrid w:val="0"/>
              <w:spacing w:line="320" w:lineRule="exact"/>
              <w:ind w:rightChars="-5" w:right="-10"/>
              <w:jc w:val="left"/>
              <w:rPr>
                <w:rFonts w:ascii="宋体" w:hAnsi="宋体"/>
                <w:szCs w:val="21"/>
              </w:rPr>
            </w:pPr>
            <w:r w:rsidRPr="004F7D6A">
              <w:rPr>
                <w:rFonts w:ascii="宋体" w:hAnsi="宋体" w:hint="eastAsia"/>
                <w:szCs w:val="21"/>
              </w:rPr>
              <w:t>系统可与业务系统无缝联接，实现数据共享。企业所有的核算最终在总账中体现。</w:t>
            </w:r>
          </w:p>
          <w:p w:rsidR="00FE197D" w:rsidRPr="004F7D6A" w:rsidRDefault="00FE197D" w:rsidP="00FE197D">
            <w:pPr>
              <w:widowControl/>
              <w:snapToGrid w:val="0"/>
              <w:spacing w:line="320" w:lineRule="exact"/>
              <w:ind w:rightChars="-5" w:right="-10"/>
              <w:jc w:val="left"/>
              <w:rPr>
                <w:rFonts w:ascii="宋体" w:hAnsi="宋体"/>
                <w:szCs w:val="21"/>
              </w:rPr>
            </w:pPr>
            <w:r w:rsidRPr="004F7D6A">
              <w:rPr>
                <w:rFonts w:ascii="宋体" w:hAnsi="宋体" w:hint="eastAsia"/>
                <w:szCs w:val="21"/>
              </w:rPr>
              <w:t>主要功能有：凭证录入、凭证制作、凭证管理、凭证过账、结转损益、期末调汇和期末结账。其中凭证制作功能可以完成业务单据的凭证生成，保证财务和业务系统的数据统一；自定义报表功能可以设置各式财务报表，提供了丰富的账簿报表。</w:t>
            </w:r>
          </w:p>
          <w:p w:rsidR="00FE197D" w:rsidRPr="009234F2" w:rsidRDefault="00FE197D" w:rsidP="00FE197D">
            <w:pPr>
              <w:widowControl/>
              <w:snapToGrid w:val="0"/>
              <w:spacing w:line="320" w:lineRule="exact"/>
              <w:ind w:rightChars="-5" w:right="-10"/>
              <w:jc w:val="left"/>
              <w:rPr>
                <w:rFonts w:ascii="宋体" w:hAnsi="宋体"/>
                <w:sz w:val="18"/>
                <w:szCs w:val="18"/>
              </w:rPr>
            </w:pPr>
            <w:r w:rsidRPr="004F7D6A">
              <w:rPr>
                <w:rFonts w:ascii="宋体" w:hAnsi="宋体" w:hint="eastAsia"/>
                <w:szCs w:val="21"/>
              </w:rPr>
              <w:t>总分类账：用于查询总分类账的账务数据，查询总账科目的本期借方发生额、本期贷方发生额、本年借方累计、本年贷方累计、期初余额、期末余额等项目的总账数据。明细分类账：用于查询各科目的明细分类账账务数据。多栏式明细账：便于对明细科目的综合查询。</w:t>
            </w:r>
          </w:p>
        </w:tc>
      </w:tr>
      <w:tr w:rsidR="00FE197D" w:rsidTr="00004C00">
        <w:trPr>
          <w:trHeight w:val="424"/>
        </w:trPr>
        <w:tc>
          <w:tcPr>
            <w:tcW w:w="1134" w:type="dxa"/>
            <w:vMerge/>
            <w:tcBorders>
              <w:top w:val="nil"/>
              <w:left w:val="single" w:sz="4" w:space="0" w:color="auto"/>
              <w:bottom w:val="single" w:sz="4" w:space="0" w:color="auto"/>
              <w:right w:val="single" w:sz="4" w:space="0" w:color="auto"/>
            </w:tcBorders>
            <w:vAlign w:val="center"/>
            <w:hideMark/>
          </w:tcPr>
          <w:p w:rsidR="00FE197D" w:rsidRDefault="00FE197D" w:rsidP="00FE197D">
            <w:pPr>
              <w:widowControl/>
              <w:jc w:val="left"/>
              <w:rPr>
                <w:rFonts w:ascii="宋体" w:hAnsi="宋体" w:cs="宋体"/>
                <w:kern w:val="0"/>
                <w:szCs w:val="21"/>
              </w:rPr>
            </w:pPr>
          </w:p>
        </w:tc>
        <w:tc>
          <w:tcPr>
            <w:tcW w:w="1384" w:type="dxa"/>
            <w:tcBorders>
              <w:top w:val="nil"/>
              <w:left w:val="nil"/>
              <w:bottom w:val="single" w:sz="4" w:space="0" w:color="auto"/>
              <w:right w:val="single" w:sz="4" w:space="0" w:color="auto"/>
            </w:tcBorders>
            <w:noWrap/>
            <w:vAlign w:val="center"/>
            <w:hideMark/>
          </w:tcPr>
          <w:p w:rsidR="00FE197D" w:rsidRDefault="00FE197D" w:rsidP="00FE197D">
            <w:pPr>
              <w:widowControl/>
              <w:rPr>
                <w:rFonts w:ascii="宋体" w:hAnsi="宋体" w:cs="宋体"/>
                <w:kern w:val="0"/>
                <w:szCs w:val="21"/>
              </w:rPr>
            </w:pPr>
            <w:r>
              <w:rPr>
                <w:rFonts w:ascii="宋体" w:hAnsi="宋体" w:cs="宋体" w:hint="eastAsia"/>
                <w:kern w:val="0"/>
                <w:szCs w:val="21"/>
              </w:rPr>
              <w:t>报表与分析</w:t>
            </w:r>
          </w:p>
        </w:tc>
        <w:tc>
          <w:tcPr>
            <w:tcW w:w="13608" w:type="dxa"/>
            <w:tcBorders>
              <w:top w:val="nil"/>
              <w:left w:val="nil"/>
              <w:bottom w:val="single" w:sz="4" w:space="0" w:color="auto"/>
              <w:right w:val="single" w:sz="4" w:space="0" w:color="auto"/>
            </w:tcBorders>
            <w:vAlign w:val="center"/>
          </w:tcPr>
          <w:p w:rsidR="00FE197D" w:rsidRPr="004F7D6A" w:rsidRDefault="00FE197D" w:rsidP="00FE197D">
            <w:pPr>
              <w:spacing w:line="320" w:lineRule="exact"/>
              <w:jc w:val="left"/>
              <w:rPr>
                <w:rFonts w:ascii="宋体" w:hAnsi="宋体"/>
                <w:szCs w:val="21"/>
              </w:rPr>
            </w:pPr>
            <w:r w:rsidRPr="004F7D6A">
              <w:rPr>
                <w:rFonts w:ascii="宋体" w:hAnsi="宋体" w:hint="eastAsia"/>
                <w:szCs w:val="21"/>
              </w:rPr>
              <w:t>系统提供现金流量表、资产负债表和利润表等三大报表，还可以根据企业的实际需求设定自定义报表，帮助企业管理者快速方便地获取决策所需要的数据。</w:t>
            </w:r>
          </w:p>
        </w:tc>
      </w:tr>
      <w:tr w:rsidR="00FE197D" w:rsidTr="00004C00">
        <w:trPr>
          <w:trHeight w:val="414"/>
        </w:trPr>
        <w:tc>
          <w:tcPr>
            <w:tcW w:w="1134" w:type="dxa"/>
            <w:vMerge/>
            <w:tcBorders>
              <w:top w:val="nil"/>
              <w:left w:val="single" w:sz="4" w:space="0" w:color="auto"/>
              <w:bottom w:val="single" w:sz="4" w:space="0" w:color="auto"/>
              <w:right w:val="single" w:sz="4" w:space="0" w:color="auto"/>
            </w:tcBorders>
            <w:vAlign w:val="center"/>
            <w:hideMark/>
          </w:tcPr>
          <w:p w:rsidR="00FE197D" w:rsidRDefault="00FE197D" w:rsidP="00FE197D">
            <w:pPr>
              <w:widowControl/>
              <w:jc w:val="left"/>
              <w:rPr>
                <w:rFonts w:ascii="宋体" w:hAnsi="宋体" w:cs="宋体"/>
                <w:kern w:val="0"/>
                <w:szCs w:val="21"/>
              </w:rPr>
            </w:pPr>
          </w:p>
        </w:tc>
        <w:tc>
          <w:tcPr>
            <w:tcW w:w="1384" w:type="dxa"/>
            <w:tcBorders>
              <w:top w:val="nil"/>
              <w:left w:val="nil"/>
              <w:bottom w:val="single" w:sz="4" w:space="0" w:color="auto"/>
              <w:right w:val="single" w:sz="4" w:space="0" w:color="auto"/>
            </w:tcBorders>
            <w:noWrap/>
            <w:vAlign w:val="center"/>
            <w:hideMark/>
          </w:tcPr>
          <w:p w:rsidR="00FE197D" w:rsidRDefault="00FE197D" w:rsidP="00FE197D">
            <w:pPr>
              <w:widowControl/>
              <w:rPr>
                <w:rFonts w:ascii="宋体" w:hAnsi="宋体" w:cs="宋体"/>
                <w:kern w:val="0"/>
                <w:szCs w:val="21"/>
              </w:rPr>
            </w:pPr>
            <w:r>
              <w:rPr>
                <w:rFonts w:ascii="宋体" w:hAnsi="宋体" w:cs="宋体" w:hint="eastAsia"/>
                <w:kern w:val="0"/>
                <w:szCs w:val="21"/>
              </w:rPr>
              <w:t>工资管理</w:t>
            </w:r>
          </w:p>
        </w:tc>
        <w:tc>
          <w:tcPr>
            <w:tcW w:w="13608" w:type="dxa"/>
            <w:tcBorders>
              <w:top w:val="nil"/>
              <w:left w:val="nil"/>
              <w:bottom w:val="single" w:sz="4" w:space="0" w:color="auto"/>
              <w:right w:val="single" w:sz="4" w:space="0" w:color="auto"/>
            </w:tcBorders>
            <w:vAlign w:val="center"/>
          </w:tcPr>
          <w:p w:rsidR="00FE197D" w:rsidRPr="004F7D6A" w:rsidRDefault="00FE197D" w:rsidP="00FE197D">
            <w:pPr>
              <w:spacing w:line="300" w:lineRule="exact"/>
              <w:jc w:val="left"/>
              <w:rPr>
                <w:rFonts w:ascii="宋体" w:hAnsi="宋体"/>
                <w:szCs w:val="21"/>
              </w:rPr>
            </w:pPr>
            <w:r w:rsidRPr="004F7D6A">
              <w:rPr>
                <w:rFonts w:ascii="宋体" w:hAnsi="宋体" w:hint="eastAsia"/>
                <w:szCs w:val="21"/>
              </w:rPr>
              <w:t>根据企业的实际情况对工时和工序进行设定后可快速完成员工计时计件工资的分类核算和录入，快速完成工资的发放。</w:t>
            </w:r>
          </w:p>
        </w:tc>
      </w:tr>
      <w:tr w:rsidR="00FE197D" w:rsidTr="00004C00">
        <w:trPr>
          <w:trHeight w:val="240"/>
        </w:trPr>
        <w:tc>
          <w:tcPr>
            <w:tcW w:w="1134" w:type="dxa"/>
            <w:vMerge/>
            <w:tcBorders>
              <w:top w:val="nil"/>
              <w:left w:val="single" w:sz="4" w:space="0" w:color="auto"/>
              <w:bottom w:val="single" w:sz="4" w:space="0" w:color="auto"/>
              <w:right w:val="single" w:sz="4" w:space="0" w:color="auto"/>
            </w:tcBorders>
            <w:vAlign w:val="center"/>
            <w:hideMark/>
          </w:tcPr>
          <w:p w:rsidR="00FE197D" w:rsidRDefault="00FE197D" w:rsidP="00FE197D">
            <w:pPr>
              <w:widowControl/>
              <w:jc w:val="left"/>
              <w:rPr>
                <w:rFonts w:ascii="宋体" w:hAnsi="宋体" w:cs="宋体"/>
                <w:kern w:val="0"/>
                <w:szCs w:val="21"/>
              </w:rPr>
            </w:pPr>
          </w:p>
        </w:tc>
        <w:tc>
          <w:tcPr>
            <w:tcW w:w="1384" w:type="dxa"/>
            <w:tcBorders>
              <w:top w:val="nil"/>
              <w:left w:val="nil"/>
              <w:bottom w:val="single" w:sz="4" w:space="0" w:color="auto"/>
              <w:right w:val="single" w:sz="4" w:space="0" w:color="auto"/>
            </w:tcBorders>
            <w:noWrap/>
            <w:vAlign w:val="center"/>
            <w:hideMark/>
          </w:tcPr>
          <w:p w:rsidR="00FE197D" w:rsidRDefault="00FE197D" w:rsidP="00FE197D">
            <w:pPr>
              <w:widowControl/>
              <w:rPr>
                <w:rFonts w:ascii="宋体" w:hAnsi="宋体" w:cs="宋体"/>
                <w:kern w:val="0"/>
                <w:szCs w:val="21"/>
              </w:rPr>
            </w:pPr>
            <w:r>
              <w:rPr>
                <w:rFonts w:ascii="宋体" w:hAnsi="宋体" w:cs="宋体" w:hint="eastAsia"/>
                <w:kern w:val="0"/>
                <w:szCs w:val="21"/>
              </w:rPr>
              <w:t>固定资产</w:t>
            </w:r>
          </w:p>
        </w:tc>
        <w:tc>
          <w:tcPr>
            <w:tcW w:w="13608" w:type="dxa"/>
            <w:tcBorders>
              <w:top w:val="nil"/>
              <w:left w:val="nil"/>
              <w:bottom w:val="single" w:sz="4" w:space="0" w:color="auto"/>
              <w:right w:val="single" w:sz="4" w:space="0" w:color="auto"/>
            </w:tcBorders>
            <w:vAlign w:val="center"/>
          </w:tcPr>
          <w:p w:rsidR="00FE197D" w:rsidRPr="004F7D6A" w:rsidRDefault="00FE197D" w:rsidP="00FE197D">
            <w:pPr>
              <w:widowControl/>
              <w:rPr>
                <w:rFonts w:ascii="宋体" w:hAnsi="宋体" w:cs="宋体"/>
                <w:kern w:val="0"/>
                <w:szCs w:val="21"/>
              </w:rPr>
            </w:pPr>
            <w:r w:rsidRPr="004F7D6A">
              <w:rPr>
                <w:rFonts w:ascii="宋体" w:hAnsi="宋体" w:cs="宋体" w:hint="eastAsia"/>
                <w:kern w:val="0"/>
                <w:szCs w:val="21"/>
              </w:rPr>
              <w:t>系统以固定资产卡片管理为基础，帮助企业实现对固定资产的全面管理，包括固定资产的新增、清理、变动，按国家会计准则的要求进行计提折旧工作。它能够帮助管理者全面掌握企业当前固定资产的数量与价值，追踪固定资产的使用状况，加强企业资产管理，提高资产利用率。</w:t>
            </w:r>
          </w:p>
          <w:p w:rsidR="00FE197D" w:rsidRPr="004F7D6A" w:rsidRDefault="00FE197D" w:rsidP="00FE197D">
            <w:pPr>
              <w:widowControl/>
              <w:rPr>
                <w:rFonts w:ascii="宋体" w:hAnsi="宋体" w:cs="宋体"/>
                <w:kern w:val="0"/>
                <w:szCs w:val="21"/>
              </w:rPr>
            </w:pPr>
            <w:r w:rsidRPr="004F7D6A">
              <w:rPr>
                <w:rFonts w:ascii="宋体" w:hAnsi="宋体" w:cs="宋体" w:hint="eastAsia"/>
                <w:kern w:val="0"/>
                <w:szCs w:val="21"/>
              </w:rPr>
              <w:t>金蝶KIS固定资产管理系统的具体功能包括： 先进的多类别、多层级管理、完整的固定资产业务处理、多角度的报表查询与分析功能、提供卡片的引入引出功能。</w:t>
            </w:r>
          </w:p>
        </w:tc>
      </w:tr>
      <w:tr w:rsidR="00FE197D" w:rsidTr="00004C00">
        <w:trPr>
          <w:trHeight w:val="368"/>
        </w:trPr>
        <w:tc>
          <w:tcPr>
            <w:tcW w:w="1134" w:type="dxa"/>
            <w:vMerge/>
            <w:tcBorders>
              <w:top w:val="nil"/>
              <w:left w:val="single" w:sz="4" w:space="0" w:color="auto"/>
              <w:bottom w:val="single" w:sz="4" w:space="0" w:color="auto"/>
              <w:right w:val="single" w:sz="4" w:space="0" w:color="auto"/>
            </w:tcBorders>
            <w:vAlign w:val="center"/>
            <w:hideMark/>
          </w:tcPr>
          <w:p w:rsidR="00FE197D" w:rsidRDefault="00FE197D" w:rsidP="00FE197D">
            <w:pPr>
              <w:widowControl/>
              <w:jc w:val="left"/>
              <w:rPr>
                <w:rFonts w:ascii="宋体" w:hAnsi="宋体" w:cs="宋体"/>
                <w:kern w:val="0"/>
                <w:szCs w:val="21"/>
              </w:rPr>
            </w:pPr>
          </w:p>
        </w:tc>
        <w:tc>
          <w:tcPr>
            <w:tcW w:w="1384" w:type="dxa"/>
            <w:tcBorders>
              <w:top w:val="nil"/>
              <w:left w:val="nil"/>
              <w:bottom w:val="single" w:sz="4" w:space="0" w:color="auto"/>
              <w:right w:val="single" w:sz="4" w:space="0" w:color="auto"/>
            </w:tcBorders>
            <w:noWrap/>
            <w:vAlign w:val="center"/>
            <w:hideMark/>
          </w:tcPr>
          <w:p w:rsidR="00FE197D" w:rsidRDefault="00FE197D" w:rsidP="00FE197D">
            <w:pPr>
              <w:widowControl/>
              <w:rPr>
                <w:rFonts w:ascii="宋体" w:hAnsi="宋体" w:cs="宋体"/>
                <w:kern w:val="0"/>
                <w:szCs w:val="21"/>
              </w:rPr>
            </w:pPr>
            <w:r>
              <w:rPr>
                <w:rFonts w:ascii="宋体" w:hAnsi="宋体" w:cs="宋体" w:hint="eastAsia"/>
                <w:kern w:val="0"/>
                <w:szCs w:val="21"/>
              </w:rPr>
              <w:t>出纳管理</w:t>
            </w:r>
          </w:p>
        </w:tc>
        <w:tc>
          <w:tcPr>
            <w:tcW w:w="13608" w:type="dxa"/>
            <w:tcBorders>
              <w:top w:val="nil"/>
              <w:left w:val="nil"/>
              <w:bottom w:val="single" w:sz="4" w:space="0" w:color="auto"/>
              <w:right w:val="single" w:sz="4" w:space="0" w:color="auto"/>
            </w:tcBorders>
            <w:vAlign w:val="center"/>
          </w:tcPr>
          <w:p w:rsidR="00FE197D" w:rsidRPr="004F7D6A" w:rsidRDefault="00FE197D" w:rsidP="00FE197D">
            <w:pPr>
              <w:spacing w:line="320" w:lineRule="exact"/>
              <w:jc w:val="left"/>
              <w:rPr>
                <w:rFonts w:ascii="宋体" w:hAnsi="宋体"/>
                <w:szCs w:val="21"/>
              </w:rPr>
            </w:pPr>
            <w:r w:rsidRPr="004F7D6A">
              <w:rPr>
                <w:rFonts w:ascii="宋体" w:hAnsi="宋体" w:hint="eastAsia"/>
                <w:szCs w:val="21"/>
              </w:rPr>
              <w:t>系统与财务系统分离，保证了资金流动的安全性，同时通过现金日记账和银行对账单，可以有效提高会计工作的准确性。</w:t>
            </w:r>
          </w:p>
        </w:tc>
      </w:tr>
      <w:tr w:rsidR="00FE197D" w:rsidTr="00004C00">
        <w:trPr>
          <w:trHeight w:val="430"/>
        </w:trPr>
        <w:tc>
          <w:tcPr>
            <w:tcW w:w="1134" w:type="dxa"/>
            <w:vMerge/>
            <w:tcBorders>
              <w:top w:val="nil"/>
              <w:left w:val="single" w:sz="4" w:space="0" w:color="auto"/>
              <w:bottom w:val="single" w:sz="4" w:space="0" w:color="auto"/>
              <w:right w:val="single" w:sz="4" w:space="0" w:color="auto"/>
            </w:tcBorders>
            <w:vAlign w:val="center"/>
            <w:hideMark/>
          </w:tcPr>
          <w:p w:rsidR="00FE197D" w:rsidRDefault="00FE197D" w:rsidP="00FE197D">
            <w:pPr>
              <w:widowControl/>
              <w:jc w:val="left"/>
              <w:rPr>
                <w:rFonts w:ascii="宋体" w:hAnsi="宋体" w:cs="宋体"/>
                <w:kern w:val="0"/>
                <w:szCs w:val="21"/>
              </w:rPr>
            </w:pPr>
          </w:p>
        </w:tc>
        <w:tc>
          <w:tcPr>
            <w:tcW w:w="1384" w:type="dxa"/>
            <w:tcBorders>
              <w:top w:val="nil"/>
              <w:left w:val="nil"/>
              <w:bottom w:val="single" w:sz="4" w:space="0" w:color="auto"/>
              <w:right w:val="single" w:sz="4" w:space="0" w:color="auto"/>
            </w:tcBorders>
            <w:noWrap/>
            <w:vAlign w:val="center"/>
            <w:hideMark/>
          </w:tcPr>
          <w:p w:rsidR="00FE197D" w:rsidRDefault="00FE197D" w:rsidP="00FE197D">
            <w:pPr>
              <w:widowControl/>
              <w:rPr>
                <w:rFonts w:ascii="宋体" w:hAnsi="宋体" w:cs="宋体"/>
                <w:kern w:val="0"/>
                <w:szCs w:val="21"/>
              </w:rPr>
            </w:pPr>
            <w:r>
              <w:rPr>
                <w:rFonts w:ascii="宋体" w:hAnsi="宋体" w:cs="宋体" w:hint="eastAsia"/>
                <w:kern w:val="0"/>
                <w:szCs w:val="21"/>
              </w:rPr>
              <w:t>存货核算</w:t>
            </w:r>
          </w:p>
        </w:tc>
        <w:tc>
          <w:tcPr>
            <w:tcW w:w="13608" w:type="dxa"/>
            <w:tcBorders>
              <w:top w:val="nil"/>
              <w:left w:val="nil"/>
              <w:bottom w:val="single" w:sz="4" w:space="0" w:color="auto"/>
              <w:right w:val="single" w:sz="4" w:space="0" w:color="auto"/>
            </w:tcBorders>
            <w:vAlign w:val="center"/>
          </w:tcPr>
          <w:p w:rsidR="00FE197D" w:rsidRPr="004F7D6A" w:rsidRDefault="00FE197D" w:rsidP="00FE197D">
            <w:pPr>
              <w:widowControl/>
              <w:rPr>
                <w:rFonts w:ascii="宋体" w:hAnsi="宋体" w:cs="宋体"/>
                <w:kern w:val="0"/>
                <w:szCs w:val="21"/>
              </w:rPr>
            </w:pPr>
            <w:r w:rsidRPr="004F7D6A">
              <w:rPr>
                <w:rFonts w:ascii="宋体" w:hAnsi="宋体" w:cs="宋体" w:hint="eastAsia"/>
                <w:kern w:val="0"/>
                <w:szCs w:val="21"/>
              </w:rPr>
              <w:t>用于企业存货出入库核算，存货出入库凭证处理，核算报表查询，期初期末处理及相关资料维护。各种实际成本可并行使用、提供总仓、分仓等多种核算方式、外购入库核算可自动分配采购费用，自动生成暂估核销相关单据、一种核算单据可对应多个凭证模板，凭证模板设置灵活、简单</w:t>
            </w:r>
          </w:p>
          <w:p w:rsidR="00FE197D" w:rsidRPr="004F7D6A" w:rsidRDefault="00FE197D" w:rsidP="00FE197D">
            <w:pPr>
              <w:widowControl/>
              <w:rPr>
                <w:rFonts w:ascii="宋体" w:hAnsi="宋体" w:cs="宋体"/>
                <w:kern w:val="0"/>
                <w:szCs w:val="21"/>
              </w:rPr>
            </w:pPr>
            <w:r w:rsidRPr="004F7D6A">
              <w:rPr>
                <w:rFonts w:ascii="宋体" w:hAnsi="宋体" w:cs="宋体" w:hint="eastAsia"/>
                <w:kern w:val="0"/>
                <w:szCs w:val="21"/>
              </w:rPr>
              <w:t>各种实际成本可并行使用、系统提供先进先出法、后进先出法、加权平均法、移动平均法、分批认定法五种存货计价方法，可以设置到明细物料、各种存货计价方法可并行使用，准确核算存货的出入库成本和库存金额余额、提供负结存出库、红字出库、调拨出库处理。</w:t>
            </w:r>
          </w:p>
          <w:p w:rsidR="00FE197D" w:rsidRPr="004F7D6A" w:rsidRDefault="00FE197D" w:rsidP="00FE197D">
            <w:pPr>
              <w:widowControl/>
              <w:rPr>
                <w:rFonts w:ascii="宋体" w:hAnsi="宋体" w:cs="宋体"/>
                <w:kern w:val="0"/>
                <w:szCs w:val="21"/>
              </w:rPr>
            </w:pPr>
            <w:r w:rsidRPr="004F7D6A">
              <w:rPr>
                <w:rFonts w:ascii="宋体" w:hAnsi="宋体" w:cs="宋体" w:hint="eastAsia"/>
                <w:kern w:val="0"/>
                <w:szCs w:val="21"/>
              </w:rPr>
              <w:t>外购入库核算可自动分配采购费用、自动进行暂估核销处理、外购入库物料实际成本根据已钩稽的采购发票上的采购金额及采购费用自动计算得出，系统支持多币别的核算。</w:t>
            </w:r>
          </w:p>
          <w:p w:rsidR="00FE197D" w:rsidRPr="004F7D6A" w:rsidRDefault="00FE197D" w:rsidP="00FE197D">
            <w:pPr>
              <w:widowControl/>
              <w:rPr>
                <w:rFonts w:ascii="宋体" w:hAnsi="宋体" w:cs="宋体"/>
                <w:kern w:val="0"/>
                <w:szCs w:val="21"/>
              </w:rPr>
            </w:pPr>
            <w:r w:rsidRPr="004F7D6A">
              <w:rPr>
                <w:rFonts w:ascii="宋体" w:hAnsi="宋体" w:cs="宋体" w:hint="eastAsia"/>
                <w:kern w:val="0"/>
                <w:szCs w:val="21"/>
              </w:rPr>
              <w:t>费用分配的原理是按数量进行分配、系统根据系统参数的设置进行暂估调整，可以采用差额调整和单到冲回方式、一种核算单据可对应多个凭证模板，凭证模板设置灵活简单、一种核算单据可设置多个凭证模板，可指定某个凭证模板为默认凭证模板，并可设置为在每次生成凭证前指定模板。凭证模板科目来源灵活，可选择从物料资料中的科目、部门资料中的科目、固定科目取数。系统会根据凭证模板中科目下挂的核算项目与单据上字段（包括自定义字段）的对应关系，自动将单据上的相应信息携带到凭证中。</w:t>
            </w:r>
          </w:p>
        </w:tc>
      </w:tr>
      <w:tr w:rsidR="00FE197D" w:rsidTr="00004C00">
        <w:trPr>
          <w:trHeight w:val="408"/>
        </w:trPr>
        <w:tc>
          <w:tcPr>
            <w:tcW w:w="1134" w:type="dxa"/>
            <w:vMerge/>
            <w:tcBorders>
              <w:top w:val="nil"/>
              <w:left w:val="single" w:sz="4" w:space="0" w:color="auto"/>
              <w:bottom w:val="single" w:sz="4" w:space="0" w:color="auto"/>
              <w:right w:val="single" w:sz="4" w:space="0" w:color="auto"/>
            </w:tcBorders>
            <w:vAlign w:val="center"/>
            <w:hideMark/>
          </w:tcPr>
          <w:p w:rsidR="00FE197D" w:rsidRDefault="00FE197D" w:rsidP="00FE197D">
            <w:pPr>
              <w:widowControl/>
              <w:jc w:val="left"/>
              <w:rPr>
                <w:rFonts w:ascii="宋体" w:hAnsi="宋体" w:cs="宋体"/>
                <w:kern w:val="0"/>
                <w:szCs w:val="21"/>
              </w:rPr>
            </w:pPr>
          </w:p>
        </w:tc>
        <w:tc>
          <w:tcPr>
            <w:tcW w:w="1384" w:type="dxa"/>
            <w:tcBorders>
              <w:top w:val="nil"/>
              <w:left w:val="nil"/>
              <w:bottom w:val="single" w:sz="4" w:space="0" w:color="auto"/>
              <w:right w:val="single" w:sz="4" w:space="0" w:color="auto"/>
            </w:tcBorders>
            <w:noWrap/>
            <w:vAlign w:val="center"/>
            <w:hideMark/>
          </w:tcPr>
          <w:p w:rsidR="00FE197D" w:rsidRDefault="00FE197D" w:rsidP="00FE197D">
            <w:pPr>
              <w:widowControl/>
              <w:rPr>
                <w:rFonts w:ascii="宋体" w:hAnsi="宋体" w:cs="宋体"/>
                <w:kern w:val="0"/>
                <w:szCs w:val="21"/>
              </w:rPr>
            </w:pPr>
            <w:r>
              <w:rPr>
                <w:rFonts w:ascii="宋体" w:hAnsi="宋体" w:cs="宋体" w:hint="eastAsia"/>
                <w:kern w:val="0"/>
                <w:szCs w:val="21"/>
              </w:rPr>
              <w:t>仓存管理</w:t>
            </w:r>
          </w:p>
        </w:tc>
        <w:tc>
          <w:tcPr>
            <w:tcW w:w="13608" w:type="dxa"/>
            <w:tcBorders>
              <w:top w:val="nil"/>
              <w:left w:val="nil"/>
              <w:bottom w:val="single" w:sz="4" w:space="0" w:color="auto"/>
              <w:right w:val="single" w:sz="4" w:space="0" w:color="auto"/>
            </w:tcBorders>
            <w:vAlign w:val="center"/>
          </w:tcPr>
          <w:p w:rsidR="00FE197D" w:rsidRPr="004F7D6A" w:rsidRDefault="00FE197D" w:rsidP="00FE197D">
            <w:pPr>
              <w:widowControl/>
              <w:rPr>
                <w:rFonts w:ascii="宋体" w:hAnsi="宋体" w:cs="宋体"/>
                <w:kern w:val="0"/>
                <w:szCs w:val="21"/>
              </w:rPr>
            </w:pPr>
            <w:r w:rsidRPr="004F7D6A">
              <w:rPr>
                <w:rFonts w:ascii="宋体" w:hAnsi="宋体" w:cs="宋体" w:hint="eastAsia"/>
                <w:kern w:val="0"/>
                <w:szCs w:val="21"/>
              </w:rPr>
              <w:t>仓存管理系统，是通过入库业务（包括外购入库、产品入库、盘盈入库、其他入库、虚仓入库）、出库业务（包括销售出库、领料单、盘亏毁损、其他出库、虚仓出库）、仓存调拨、盘点、组装拆卸单等功能，结合库存盘点、即时库存管理等功能综合运用的管理系统，对仓存业务全过程进行有效控制和跟踪，实现完善的企业仓储信息管理。与采购管理系统、销售管理系统、存货核算系统的单据和凭证等结合使用，提供更完整、全面的业务流程管理和财务管理信息。</w:t>
            </w:r>
          </w:p>
        </w:tc>
      </w:tr>
      <w:tr w:rsidR="00FE197D" w:rsidTr="00004C00">
        <w:trPr>
          <w:trHeight w:val="414"/>
        </w:trPr>
        <w:tc>
          <w:tcPr>
            <w:tcW w:w="1134" w:type="dxa"/>
            <w:vMerge/>
            <w:tcBorders>
              <w:top w:val="nil"/>
              <w:left w:val="single" w:sz="4" w:space="0" w:color="auto"/>
              <w:bottom w:val="single" w:sz="4" w:space="0" w:color="auto"/>
              <w:right w:val="single" w:sz="4" w:space="0" w:color="auto"/>
            </w:tcBorders>
            <w:vAlign w:val="center"/>
            <w:hideMark/>
          </w:tcPr>
          <w:p w:rsidR="00FE197D" w:rsidRDefault="00FE197D" w:rsidP="00FE197D">
            <w:pPr>
              <w:widowControl/>
              <w:jc w:val="left"/>
              <w:rPr>
                <w:rFonts w:ascii="宋体" w:hAnsi="宋体" w:cs="宋体"/>
                <w:kern w:val="0"/>
                <w:szCs w:val="21"/>
              </w:rPr>
            </w:pPr>
          </w:p>
        </w:tc>
        <w:tc>
          <w:tcPr>
            <w:tcW w:w="1384" w:type="dxa"/>
            <w:tcBorders>
              <w:top w:val="nil"/>
              <w:left w:val="nil"/>
              <w:bottom w:val="single" w:sz="4" w:space="0" w:color="auto"/>
              <w:right w:val="single" w:sz="4" w:space="0" w:color="auto"/>
            </w:tcBorders>
            <w:noWrap/>
            <w:vAlign w:val="center"/>
            <w:hideMark/>
          </w:tcPr>
          <w:p w:rsidR="00FE197D" w:rsidRDefault="00FE197D" w:rsidP="00FE197D">
            <w:pPr>
              <w:widowControl/>
              <w:rPr>
                <w:rFonts w:ascii="宋体" w:hAnsi="宋体" w:cs="宋体"/>
                <w:kern w:val="0"/>
                <w:szCs w:val="21"/>
              </w:rPr>
            </w:pPr>
            <w:r>
              <w:rPr>
                <w:rFonts w:ascii="宋体" w:hAnsi="宋体" w:cs="宋体" w:hint="eastAsia"/>
                <w:kern w:val="0"/>
                <w:szCs w:val="21"/>
              </w:rPr>
              <w:t>采购管理</w:t>
            </w:r>
          </w:p>
        </w:tc>
        <w:tc>
          <w:tcPr>
            <w:tcW w:w="13608" w:type="dxa"/>
            <w:tcBorders>
              <w:top w:val="nil"/>
              <w:left w:val="nil"/>
              <w:bottom w:val="single" w:sz="4" w:space="0" w:color="auto"/>
              <w:right w:val="single" w:sz="4" w:space="0" w:color="auto"/>
            </w:tcBorders>
            <w:vAlign w:val="center"/>
          </w:tcPr>
          <w:p w:rsidR="00FE197D" w:rsidRPr="004F7D6A" w:rsidRDefault="00FE197D" w:rsidP="00FE197D">
            <w:pPr>
              <w:widowControl/>
              <w:rPr>
                <w:rFonts w:ascii="宋体" w:hAnsi="宋体" w:cs="宋体"/>
                <w:kern w:val="0"/>
                <w:szCs w:val="21"/>
              </w:rPr>
            </w:pPr>
            <w:r w:rsidRPr="004F7D6A">
              <w:rPr>
                <w:rFonts w:ascii="宋体" w:hAnsi="宋体" w:cs="宋体" w:hint="eastAsia"/>
                <w:kern w:val="0"/>
                <w:szCs w:val="21"/>
              </w:rPr>
              <w:t>系统是通过采购订货、仓库收料、采购退货、购货发票处理、供应商管理、价格及供货信息资料等功能综合运用的管理系统，对采购物流和资金流的全过程进行有效的双向控制和跟踪，实现完善的企业物资供应信息管理。</w:t>
            </w:r>
          </w:p>
        </w:tc>
      </w:tr>
      <w:tr w:rsidR="00FE197D" w:rsidTr="00004C00">
        <w:trPr>
          <w:trHeight w:val="420"/>
        </w:trPr>
        <w:tc>
          <w:tcPr>
            <w:tcW w:w="1134" w:type="dxa"/>
            <w:vMerge/>
            <w:tcBorders>
              <w:top w:val="nil"/>
              <w:left w:val="single" w:sz="4" w:space="0" w:color="auto"/>
              <w:bottom w:val="single" w:sz="4" w:space="0" w:color="auto"/>
              <w:right w:val="single" w:sz="4" w:space="0" w:color="auto"/>
            </w:tcBorders>
            <w:vAlign w:val="center"/>
            <w:hideMark/>
          </w:tcPr>
          <w:p w:rsidR="00FE197D" w:rsidRDefault="00FE197D" w:rsidP="00FE197D">
            <w:pPr>
              <w:widowControl/>
              <w:jc w:val="left"/>
              <w:rPr>
                <w:rFonts w:ascii="宋体" w:hAnsi="宋体" w:cs="宋体"/>
                <w:kern w:val="0"/>
                <w:szCs w:val="21"/>
              </w:rPr>
            </w:pPr>
          </w:p>
        </w:tc>
        <w:tc>
          <w:tcPr>
            <w:tcW w:w="1384" w:type="dxa"/>
            <w:tcBorders>
              <w:top w:val="nil"/>
              <w:left w:val="nil"/>
              <w:bottom w:val="single" w:sz="4" w:space="0" w:color="auto"/>
              <w:right w:val="single" w:sz="4" w:space="0" w:color="auto"/>
            </w:tcBorders>
            <w:noWrap/>
            <w:vAlign w:val="center"/>
            <w:hideMark/>
          </w:tcPr>
          <w:p w:rsidR="00FE197D" w:rsidRDefault="00FE197D" w:rsidP="00FE197D">
            <w:pPr>
              <w:widowControl/>
              <w:rPr>
                <w:rFonts w:ascii="宋体" w:hAnsi="宋体" w:cs="宋体"/>
                <w:kern w:val="0"/>
                <w:szCs w:val="21"/>
              </w:rPr>
            </w:pPr>
            <w:r>
              <w:rPr>
                <w:rFonts w:ascii="宋体" w:hAnsi="宋体" w:cs="宋体" w:hint="eastAsia"/>
                <w:kern w:val="0"/>
                <w:szCs w:val="21"/>
              </w:rPr>
              <w:t>销售管理</w:t>
            </w:r>
          </w:p>
        </w:tc>
        <w:tc>
          <w:tcPr>
            <w:tcW w:w="13608" w:type="dxa"/>
            <w:tcBorders>
              <w:top w:val="nil"/>
              <w:left w:val="nil"/>
              <w:bottom w:val="single" w:sz="4" w:space="0" w:color="auto"/>
              <w:right w:val="single" w:sz="4" w:space="0" w:color="auto"/>
            </w:tcBorders>
            <w:vAlign w:val="center"/>
          </w:tcPr>
          <w:p w:rsidR="00FE197D" w:rsidRPr="004F7D6A" w:rsidRDefault="00FE197D" w:rsidP="00FE197D">
            <w:pPr>
              <w:widowControl/>
              <w:rPr>
                <w:rFonts w:ascii="宋体" w:hAnsi="宋体" w:cs="宋体"/>
                <w:kern w:val="0"/>
                <w:szCs w:val="21"/>
              </w:rPr>
            </w:pPr>
            <w:r w:rsidRPr="004F7D6A">
              <w:rPr>
                <w:rFonts w:ascii="宋体" w:hAnsi="宋体" w:cs="宋体" w:hint="eastAsia"/>
                <w:kern w:val="0"/>
                <w:szCs w:val="21"/>
              </w:rPr>
              <w:t>系统是通过销售报价、销售订货、仓库发货、销售退货、销售发票处理、客户管理、销售价格资料、订单管理等功能综合运用的管理系统，对销售</w:t>
            </w:r>
            <w:r w:rsidRPr="004F7D6A">
              <w:rPr>
                <w:rFonts w:ascii="宋体" w:hAnsi="宋体" w:cs="宋体" w:hint="eastAsia"/>
                <w:kern w:val="0"/>
                <w:szCs w:val="21"/>
              </w:rPr>
              <w:lastRenderedPageBreak/>
              <w:t>全过程进行有效控制和跟踪，实现完善的企业销售信息管理。 该系统与采购管理系统、仓存管理系统、存货核算管理系统、财务系统等其他系统结合运用，将能提供更完整、全面的小企业业务系统业务流程管理和财务管理信息。</w:t>
            </w:r>
          </w:p>
        </w:tc>
      </w:tr>
      <w:tr w:rsidR="00FE197D" w:rsidTr="00004C00">
        <w:trPr>
          <w:trHeight w:val="402"/>
        </w:trPr>
        <w:tc>
          <w:tcPr>
            <w:tcW w:w="1134" w:type="dxa"/>
            <w:vMerge/>
            <w:tcBorders>
              <w:top w:val="nil"/>
              <w:left w:val="single" w:sz="4" w:space="0" w:color="auto"/>
              <w:bottom w:val="single" w:sz="4" w:space="0" w:color="auto"/>
              <w:right w:val="single" w:sz="4" w:space="0" w:color="auto"/>
            </w:tcBorders>
            <w:vAlign w:val="center"/>
            <w:hideMark/>
          </w:tcPr>
          <w:p w:rsidR="00FE197D" w:rsidRDefault="00FE197D" w:rsidP="00FE197D">
            <w:pPr>
              <w:widowControl/>
              <w:jc w:val="left"/>
              <w:rPr>
                <w:rFonts w:ascii="宋体" w:hAnsi="宋体" w:cs="宋体"/>
                <w:kern w:val="0"/>
                <w:szCs w:val="21"/>
              </w:rPr>
            </w:pPr>
          </w:p>
        </w:tc>
        <w:tc>
          <w:tcPr>
            <w:tcW w:w="1384" w:type="dxa"/>
            <w:tcBorders>
              <w:top w:val="nil"/>
              <w:left w:val="nil"/>
              <w:bottom w:val="single" w:sz="4" w:space="0" w:color="auto"/>
              <w:right w:val="single" w:sz="4" w:space="0" w:color="auto"/>
            </w:tcBorders>
            <w:noWrap/>
            <w:vAlign w:val="center"/>
            <w:hideMark/>
          </w:tcPr>
          <w:p w:rsidR="00FE197D" w:rsidRDefault="00FE197D" w:rsidP="00FE197D">
            <w:pPr>
              <w:widowControl/>
              <w:rPr>
                <w:rFonts w:ascii="宋体" w:hAnsi="宋体" w:cs="宋体"/>
                <w:kern w:val="0"/>
                <w:szCs w:val="21"/>
              </w:rPr>
            </w:pPr>
            <w:r>
              <w:rPr>
                <w:rFonts w:ascii="宋体" w:hAnsi="宋体" w:cs="宋体" w:hint="eastAsia"/>
                <w:kern w:val="0"/>
                <w:szCs w:val="21"/>
              </w:rPr>
              <w:t>应收应付</w:t>
            </w:r>
          </w:p>
        </w:tc>
        <w:tc>
          <w:tcPr>
            <w:tcW w:w="13608" w:type="dxa"/>
            <w:tcBorders>
              <w:top w:val="nil"/>
              <w:left w:val="nil"/>
              <w:bottom w:val="single" w:sz="4" w:space="0" w:color="auto"/>
              <w:right w:val="single" w:sz="4" w:space="0" w:color="auto"/>
            </w:tcBorders>
            <w:vAlign w:val="center"/>
          </w:tcPr>
          <w:p w:rsidR="00FE197D" w:rsidRPr="004F7D6A" w:rsidRDefault="00FE197D" w:rsidP="00FE197D">
            <w:pPr>
              <w:spacing w:line="320" w:lineRule="exact"/>
              <w:jc w:val="left"/>
              <w:rPr>
                <w:rFonts w:ascii="宋体" w:hAnsi="宋体"/>
                <w:szCs w:val="21"/>
              </w:rPr>
            </w:pPr>
            <w:r w:rsidRPr="004F7D6A">
              <w:rPr>
                <w:rFonts w:ascii="宋体" w:hAnsi="宋体" w:hint="eastAsia"/>
                <w:szCs w:val="21"/>
              </w:rPr>
              <w:t>系统可以根据采购、销售订单的收付款情况自动生成往来对账单，可以清楚地查看到每一个客户、每一张订单的收付款情况，方便账务人员快速地进行对账。财务人员根据往来对账单进行核销后，系统可自动生成凭证，减速少财务人员的工作量。</w:t>
            </w:r>
          </w:p>
        </w:tc>
      </w:tr>
      <w:tr w:rsidR="00FE197D" w:rsidTr="00004C00">
        <w:trPr>
          <w:trHeight w:val="432"/>
        </w:trPr>
        <w:tc>
          <w:tcPr>
            <w:tcW w:w="1134" w:type="dxa"/>
            <w:vMerge/>
            <w:tcBorders>
              <w:top w:val="nil"/>
              <w:left w:val="single" w:sz="4" w:space="0" w:color="auto"/>
              <w:bottom w:val="single" w:sz="4" w:space="0" w:color="auto"/>
              <w:right w:val="single" w:sz="4" w:space="0" w:color="auto"/>
            </w:tcBorders>
            <w:vAlign w:val="center"/>
            <w:hideMark/>
          </w:tcPr>
          <w:p w:rsidR="00FE197D" w:rsidRDefault="00FE197D" w:rsidP="00FE197D">
            <w:pPr>
              <w:widowControl/>
              <w:jc w:val="left"/>
              <w:rPr>
                <w:rFonts w:ascii="宋体" w:hAnsi="宋体" w:cs="宋体"/>
                <w:kern w:val="0"/>
                <w:szCs w:val="21"/>
              </w:rPr>
            </w:pPr>
          </w:p>
        </w:tc>
        <w:tc>
          <w:tcPr>
            <w:tcW w:w="1384" w:type="dxa"/>
            <w:tcBorders>
              <w:top w:val="nil"/>
              <w:left w:val="nil"/>
              <w:bottom w:val="single" w:sz="4" w:space="0" w:color="auto"/>
              <w:right w:val="single" w:sz="4" w:space="0" w:color="auto"/>
            </w:tcBorders>
            <w:noWrap/>
            <w:vAlign w:val="center"/>
            <w:hideMark/>
          </w:tcPr>
          <w:p w:rsidR="00FE197D" w:rsidRDefault="00FE197D" w:rsidP="00FE197D">
            <w:pPr>
              <w:widowControl/>
              <w:rPr>
                <w:rFonts w:ascii="宋体" w:hAnsi="宋体" w:cs="宋体"/>
                <w:kern w:val="0"/>
                <w:szCs w:val="21"/>
              </w:rPr>
            </w:pPr>
            <w:r>
              <w:rPr>
                <w:rFonts w:ascii="宋体" w:hAnsi="宋体" w:cs="宋体" w:hint="eastAsia"/>
                <w:kern w:val="0"/>
                <w:szCs w:val="21"/>
              </w:rPr>
              <w:t>生产管理</w:t>
            </w:r>
          </w:p>
        </w:tc>
        <w:tc>
          <w:tcPr>
            <w:tcW w:w="13608" w:type="dxa"/>
            <w:tcBorders>
              <w:top w:val="nil"/>
              <w:left w:val="nil"/>
              <w:bottom w:val="single" w:sz="4" w:space="0" w:color="auto"/>
              <w:right w:val="single" w:sz="4" w:space="0" w:color="auto"/>
            </w:tcBorders>
            <w:vAlign w:val="center"/>
          </w:tcPr>
          <w:p w:rsidR="00FE197D" w:rsidRPr="004F7D6A" w:rsidRDefault="00FE197D" w:rsidP="00FE197D">
            <w:pPr>
              <w:widowControl/>
              <w:rPr>
                <w:rFonts w:ascii="宋体" w:hAnsi="宋体" w:cs="宋体"/>
                <w:kern w:val="0"/>
                <w:szCs w:val="21"/>
              </w:rPr>
            </w:pPr>
            <w:r w:rsidRPr="004F7D6A">
              <w:rPr>
                <w:rFonts w:ascii="宋体" w:hAnsi="宋体" w:cs="宋体" w:hint="eastAsia"/>
                <w:kern w:val="0"/>
                <w:szCs w:val="21"/>
              </w:rPr>
              <w:t>系统中以生产任务单为核心，提供了采购建议、生产领料、产品入库、在产品产量录入、费用分摊、生产成本核算等功能，并通过形象化、导航式的界面协助您处理日常业务，具有使用简便、功能实用等特性。</w:t>
            </w:r>
          </w:p>
          <w:p w:rsidR="00FE197D" w:rsidRPr="004F7D6A" w:rsidRDefault="00FE197D" w:rsidP="00FE197D">
            <w:pPr>
              <w:widowControl/>
              <w:rPr>
                <w:rFonts w:ascii="宋体" w:hAnsi="宋体" w:cs="宋体"/>
                <w:kern w:val="0"/>
                <w:szCs w:val="21"/>
              </w:rPr>
            </w:pPr>
            <w:r w:rsidRPr="004F7D6A">
              <w:rPr>
                <w:rFonts w:ascii="宋体" w:hAnsi="宋体" w:cs="宋体" w:hint="eastAsia"/>
                <w:kern w:val="0"/>
                <w:szCs w:val="21"/>
              </w:rPr>
              <w:t>通过采购建议功能，系统可以根据下达生产数量和库存数量，为企业提供各种外购原材料的采购数量，既能保证生产原材料的充足供应，又能将库存数量降到最低。通过生产成本核算功能，系统可以自动计算产品入库成本，解决小型生产型企业成本核算复杂的问题。</w:t>
            </w:r>
          </w:p>
        </w:tc>
      </w:tr>
      <w:tr w:rsidR="00FE197D" w:rsidTr="00004C00">
        <w:trPr>
          <w:trHeight w:val="410"/>
        </w:trPr>
        <w:tc>
          <w:tcPr>
            <w:tcW w:w="1134" w:type="dxa"/>
            <w:vMerge/>
            <w:tcBorders>
              <w:top w:val="nil"/>
              <w:left w:val="single" w:sz="4" w:space="0" w:color="auto"/>
              <w:bottom w:val="single" w:sz="4" w:space="0" w:color="auto"/>
              <w:right w:val="single" w:sz="4" w:space="0" w:color="auto"/>
            </w:tcBorders>
            <w:vAlign w:val="center"/>
            <w:hideMark/>
          </w:tcPr>
          <w:p w:rsidR="00FE197D" w:rsidRDefault="00FE197D" w:rsidP="00FE197D">
            <w:pPr>
              <w:widowControl/>
              <w:jc w:val="left"/>
              <w:rPr>
                <w:rFonts w:ascii="宋体" w:hAnsi="宋体" w:cs="宋体"/>
                <w:kern w:val="0"/>
                <w:szCs w:val="21"/>
              </w:rPr>
            </w:pPr>
          </w:p>
        </w:tc>
        <w:tc>
          <w:tcPr>
            <w:tcW w:w="1384" w:type="dxa"/>
            <w:tcBorders>
              <w:top w:val="nil"/>
              <w:left w:val="nil"/>
              <w:bottom w:val="single" w:sz="4" w:space="0" w:color="auto"/>
              <w:right w:val="single" w:sz="4" w:space="0" w:color="auto"/>
            </w:tcBorders>
            <w:noWrap/>
            <w:vAlign w:val="center"/>
            <w:hideMark/>
          </w:tcPr>
          <w:p w:rsidR="00FE197D" w:rsidRDefault="00FE197D" w:rsidP="00FE197D">
            <w:pPr>
              <w:widowControl/>
              <w:rPr>
                <w:rFonts w:ascii="宋体" w:hAnsi="宋体" w:cs="宋体"/>
                <w:kern w:val="0"/>
                <w:szCs w:val="21"/>
              </w:rPr>
            </w:pPr>
            <w:r>
              <w:rPr>
                <w:rFonts w:ascii="宋体" w:hAnsi="宋体" w:cs="宋体" w:hint="eastAsia"/>
                <w:kern w:val="0"/>
                <w:szCs w:val="21"/>
              </w:rPr>
              <w:t>委外管理</w:t>
            </w:r>
          </w:p>
        </w:tc>
        <w:tc>
          <w:tcPr>
            <w:tcW w:w="13608" w:type="dxa"/>
            <w:tcBorders>
              <w:top w:val="nil"/>
              <w:left w:val="nil"/>
              <w:bottom w:val="single" w:sz="4" w:space="0" w:color="auto"/>
              <w:right w:val="single" w:sz="4" w:space="0" w:color="auto"/>
            </w:tcBorders>
            <w:vAlign w:val="center"/>
          </w:tcPr>
          <w:p w:rsidR="00FE197D" w:rsidRPr="004F7D6A" w:rsidRDefault="00FE197D" w:rsidP="00FE197D">
            <w:pPr>
              <w:widowControl/>
              <w:rPr>
                <w:rFonts w:ascii="宋体" w:hAnsi="宋体" w:cs="宋体"/>
                <w:kern w:val="0"/>
                <w:szCs w:val="21"/>
              </w:rPr>
            </w:pPr>
            <w:r w:rsidRPr="004F7D6A">
              <w:rPr>
                <w:rFonts w:ascii="宋体" w:hAnsi="宋体" w:cs="宋体" w:hint="eastAsia"/>
                <w:kern w:val="0"/>
                <w:szCs w:val="21"/>
              </w:rPr>
              <w:t>系统中以委外加工单为核心，提供了委外订单、委外采购建议、委外发料、委外产品入库、委外加工费用、委外成本核算等功能，并通过形象化、导航式的界面协助您处理日常业务，具有使用简便、功能实用等特性。</w:t>
            </w:r>
          </w:p>
          <w:p w:rsidR="00FE197D" w:rsidRPr="004F7D6A" w:rsidRDefault="00FE197D" w:rsidP="00FE197D">
            <w:pPr>
              <w:widowControl/>
              <w:rPr>
                <w:rFonts w:ascii="宋体" w:hAnsi="宋体" w:cs="宋体"/>
                <w:kern w:val="0"/>
                <w:szCs w:val="21"/>
              </w:rPr>
            </w:pPr>
            <w:r w:rsidRPr="004F7D6A">
              <w:rPr>
                <w:rFonts w:ascii="宋体" w:hAnsi="宋体" w:cs="宋体" w:hint="eastAsia"/>
                <w:kern w:val="0"/>
                <w:szCs w:val="21"/>
              </w:rPr>
              <w:t>通过委外采购建议功能，系统可以根据下达委外数量和库存数量，为企业提供各种外购原材料的采购数量，既能保证生产原材料的充足供应，又能将库存数量降到最低。</w:t>
            </w:r>
          </w:p>
          <w:p w:rsidR="00FE197D" w:rsidRPr="004F7D6A" w:rsidRDefault="00FE197D" w:rsidP="00FE197D">
            <w:pPr>
              <w:widowControl/>
              <w:rPr>
                <w:rFonts w:ascii="宋体" w:hAnsi="宋体" w:cs="宋体"/>
                <w:kern w:val="0"/>
                <w:szCs w:val="21"/>
              </w:rPr>
            </w:pPr>
            <w:r w:rsidRPr="004F7D6A">
              <w:rPr>
                <w:rFonts w:ascii="宋体" w:hAnsi="宋体" w:cs="宋体" w:hint="eastAsia"/>
                <w:kern w:val="0"/>
                <w:szCs w:val="21"/>
              </w:rPr>
              <w:t>通过委外订单功能，系统可以批量生成委外加工单，解决一次委外同一加工商加工多个物料的情况。</w:t>
            </w:r>
          </w:p>
          <w:p w:rsidR="00FE197D" w:rsidRPr="0097666B" w:rsidRDefault="00FE197D" w:rsidP="00FE197D">
            <w:pPr>
              <w:widowControl/>
              <w:rPr>
                <w:rFonts w:ascii="宋体" w:hAnsi="宋体" w:cs="宋体"/>
                <w:kern w:val="0"/>
                <w:sz w:val="18"/>
                <w:szCs w:val="18"/>
              </w:rPr>
            </w:pPr>
            <w:r w:rsidRPr="004F7D6A">
              <w:rPr>
                <w:rFonts w:ascii="宋体" w:hAnsi="宋体" w:cs="宋体" w:hint="eastAsia"/>
                <w:kern w:val="0"/>
                <w:szCs w:val="21"/>
              </w:rPr>
              <w:t>通过委外成本核算功能，系统可以自动计算委外产品的入库成本，解决小型生产型企业委外成本核算复杂的问题。</w:t>
            </w:r>
          </w:p>
        </w:tc>
      </w:tr>
    </w:tbl>
    <w:p w:rsidR="00536D68" w:rsidRPr="006A3892" w:rsidRDefault="00536D68" w:rsidP="006A3892">
      <w:pPr>
        <w:ind w:firstLineChars="150" w:firstLine="315"/>
        <w:rPr>
          <w:rFonts w:ascii="宋体" w:hAnsi="宋体"/>
          <w:szCs w:val="21"/>
        </w:rPr>
      </w:pPr>
      <w:r>
        <w:rPr>
          <w:rFonts w:ascii="宋体" w:hAnsi="宋体"/>
          <w:szCs w:val="21"/>
        </w:rPr>
        <w:br w:type="textWrapping" w:clear="all"/>
      </w:r>
    </w:p>
    <w:p w:rsidR="00E0503F" w:rsidRDefault="00E0503F" w:rsidP="004C0F1A">
      <w:pPr>
        <w:widowControl/>
        <w:adjustRightInd w:val="0"/>
        <w:snapToGrid w:val="0"/>
        <w:spacing w:line="340" w:lineRule="exact"/>
        <w:jc w:val="left"/>
        <w:rPr>
          <w:rFonts w:ascii="仿宋_GB2312" w:eastAsia="仿宋_GB2312" w:hAnsi="宋体" w:cs="宋体"/>
          <w:kern w:val="0"/>
          <w:sz w:val="24"/>
          <w:szCs w:val="24"/>
        </w:rPr>
      </w:pPr>
    </w:p>
    <w:p w:rsidR="00FE197D" w:rsidRDefault="00FE197D" w:rsidP="004C0F1A">
      <w:pPr>
        <w:widowControl/>
        <w:adjustRightInd w:val="0"/>
        <w:snapToGrid w:val="0"/>
        <w:spacing w:line="340" w:lineRule="exact"/>
        <w:jc w:val="left"/>
        <w:rPr>
          <w:rFonts w:ascii="仿宋_GB2312" w:eastAsia="仿宋_GB2312" w:hAnsi="宋体" w:cs="宋体"/>
          <w:kern w:val="0"/>
          <w:sz w:val="24"/>
          <w:szCs w:val="24"/>
        </w:rPr>
      </w:pPr>
    </w:p>
    <w:p w:rsidR="00FE197D" w:rsidRDefault="00FE197D" w:rsidP="004C0F1A">
      <w:pPr>
        <w:widowControl/>
        <w:adjustRightInd w:val="0"/>
        <w:snapToGrid w:val="0"/>
        <w:spacing w:line="340" w:lineRule="exact"/>
        <w:jc w:val="left"/>
        <w:rPr>
          <w:rFonts w:ascii="仿宋_GB2312" w:eastAsia="仿宋_GB2312" w:hAnsi="宋体" w:cs="宋体"/>
          <w:kern w:val="0"/>
          <w:sz w:val="24"/>
          <w:szCs w:val="24"/>
        </w:rPr>
      </w:pPr>
    </w:p>
    <w:p w:rsidR="00FE197D" w:rsidRDefault="00FE197D" w:rsidP="004C0F1A">
      <w:pPr>
        <w:widowControl/>
        <w:adjustRightInd w:val="0"/>
        <w:snapToGrid w:val="0"/>
        <w:spacing w:line="340" w:lineRule="exact"/>
        <w:jc w:val="left"/>
        <w:rPr>
          <w:rFonts w:ascii="仿宋_GB2312" w:eastAsia="仿宋_GB2312" w:hAnsi="宋体" w:cs="宋体"/>
          <w:kern w:val="0"/>
          <w:sz w:val="24"/>
          <w:szCs w:val="24"/>
        </w:rPr>
      </w:pPr>
    </w:p>
    <w:p w:rsidR="00FE197D" w:rsidRDefault="00FE197D" w:rsidP="004C0F1A">
      <w:pPr>
        <w:widowControl/>
        <w:adjustRightInd w:val="0"/>
        <w:snapToGrid w:val="0"/>
        <w:spacing w:line="340" w:lineRule="exact"/>
        <w:jc w:val="left"/>
        <w:rPr>
          <w:rFonts w:ascii="仿宋_GB2312" w:eastAsia="仿宋_GB2312" w:hAnsi="宋体" w:cs="宋体"/>
          <w:kern w:val="0"/>
          <w:sz w:val="24"/>
          <w:szCs w:val="24"/>
        </w:rPr>
      </w:pPr>
    </w:p>
    <w:p w:rsidR="00FE197D" w:rsidRDefault="00FE197D" w:rsidP="004C0F1A">
      <w:pPr>
        <w:widowControl/>
        <w:adjustRightInd w:val="0"/>
        <w:snapToGrid w:val="0"/>
        <w:spacing w:line="340" w:lineRule="exact"/>
        <w:jc w:val="left"/>
        <w:rPr>
          <w:rFonts w:ascii="仿宋_GB2312" w:eastAsia="仿宋_GB2312" w:hAnsi="宋体" w:cs="宋体"/>
          <w:kern w:val="0"/>
          <w:sz w:val="24"/>
          <w:szCs w:val="24"/>
        </w:rPr>
      </w:pPr>
    </w:p>
    <w:p w:rsidR="00FE197D" w:rsidRDefault="00FE197D" w:rsidP="004C0F1A">
      <w:pPr>
        <w:widowControl/>
        <w:adjustRightInd w:val="0"/>
        <w:snapToGrid w:val="0"/>
        <w:spacing w:line="340" w:lineRule="exact"/>
        <w:jc w:val="left"/>
        <w:rPr>
          <w:rFonts w:ascii="仿宋_GB2312" w:eastAsia="仿宋_GB2312" w:hAnsi="宋体" w:cs="宋体"/>
          <w:kern w:val="0"/>
          <w:sz w:val="24"/>
          <w:szCs w:val="24"/>
        </w:rPr>
      </w:pPr>
    </w:p>
    <w:p w:rsidR="00FE197D" w:rsidRDefault="00FE197D" w:rsidP="004C0F1A">
      <w:pPr>
        <w:widowControl/>
        <w:adjustRightInd w:val="0"/>
        <w:snapToGrid w:val="0"/>
        <w:spacing w:line="340" w:lineRule="exact"/>
        <w:jc w:val="left"/>
        <w:rPr>
          <w:rFonts w:ascii="仿宋_GB2312" w:eastAsia="仿宋_GB2312" w:hAnsi="宋体" w:cs="宋体"/>
          <w:kern w:val="0"/>
          <w:sz w:val="24"/>
          <w:szCs w:val="24"/>
        </w:rPr>
      </w:pPr>
    </w:p>
    <w:p w:rsidR="00FE197D" w:rsidRDefault="00FE197D" w:rsidP="004C0F1A">
      <w:pPr>
        <w:widowControl/>
        <w:adjustRightInd w:val="0"/>
        <w:snapToGrid w:val="0"/>
        <w:spacing w:line="340" w:lineRule="exact"/>
        <w:jc w:val="left"/>
        <w:rPr>
          <w:rFonts w:ascii="仿宋_GB2312" w:eastAsia="仿宋_GB2312" w:hAnsi="宋体" w:cs="宋体"/>
          <w:kern w:val="0"/>
          <w:sz w:val="24"/>
          <w:szCs w:val="24"/>
        </w:rPr>
      </w:pPr>
    </w:p>
    <w:p w:rsidR="00FE197D" w:rsidRDefault="00FE197D" w:rsidP="004C0F1A">
      <w:pPr>
        <w:widowControl/>
        <w:adjustRightInd w:val="0"/>
        <w:snapToGrid w:val="0"/>
        <w:spacing w:line="340" w:lineRule="exact"/>
        <w:jc w:val="left"/>
        <w:rPr>
          <w:rFonts w:ascii="仿宋_GB2312" w:eastAsia="仿宋_GB2312" w:hAnsi="宋体" w:cs="宋体"/>
          <w:kern w:val="0"/>
          <w:sz w:val="24"/>
          <w:szCs w:val="24"/>
        </w:rPr>
      </w:pPr>
    </w:p>
    <w:p w:rsidR="00FE197D" w:rsidRDefault="00FE197D" w:rsidP="004C0F1A">
      <w:pPr>
        <w:widowControl/>
        <w:adjustRightInd w:val="0"/>
        <w:snapToGrid w:val="0"/>
        <w:spacing w:line="340" w:lineRule="exact"/>
        <w:jc w:val="left"/>
        <w:rPr>
          <w:rFonts w:ascii="仿宋_GB2312" w:eastAsia="仿宋_GB2312" w:hAnsi="宋体" w:cs="宋体"/>
          <w:kern w:val="0"/>
          <w:sz w:val="24"/>
          <w:szCs w:val="24"/>
        </w:rPr>
      </w:pPr>
    </w:p>
    <w:p w:rsidR="00FE197D" w:rsidRDefault="00FE197D" w:rsidP="004C0F1A">
      <w:pPr>
        <w:widowControl/>
        <w:adjustRightInd w:val="0"/>
        <w:snapToGrid w:val="0"/>
        <w:spacing w:line="340" w:lineRule="exact"/>
        <w:jc w:val="left"/>
        <w:rPr>
          <w:rFonts w:ascii="仿宋_GB2312" w:eastAsia="仿宋_GB2312" w:hAnsi="宋体" w:cs="宋体"/>
          <w:kern w:val="0"/>
          <w:sz w:val="24"/>
          <w:szCs w:val="24"/>
        </w:rPr>
      </w:pPr>
    </w:p>
    <w:p w:rsidR="00FE197D" w:rsidRDefault="00FE197D" w:rsidP="004C0F1A">
      <w:pPr>
        <w:widowControl/>
        <w:adjustRightInd w:val="0"/>
        <w:snapToGrid w:val="0"/>
        <w:spacing w:line="340" w:lineRule="exact"/>
        <w:jc w:val="left"/>
        <w:rPr>
          <w:rFonts w:ascii="仿宋_GB2312" w:eastAsia="仿宋_GB2312" w:hAnsi="宋体" w:cs="宋体"/>
          <w:kern w:val="0"/>
          <w:sz w:val="24"/>
          <w:szCs w:val="24"/>
        </w:rPr>
      </w:pPr>
    </w:p>
    <w:p w:rsidR="00FE197D" w:rsidRDefault="00FE197D" w:rsidP="004C0F1A">
      <w:pPr>
        <w:widowControl/>
        <w:adjustRightInd w:val="0"/>
        <w:snapToGrid w:val="0"/>
        <w:spacing w:line="340" w:lineRule="exact"/>
        <w:jc w:val="left"/>
        <w:rPr>
          <w:rFonts w:ascii="仿宋_GB2312" w:eastAsia="仿宋_GB2312" w:hAnsi="宋体" w:cs="宋体"/>
          <w:kern w:val="0"/>
          <w:sz w:val="24"/>
          <w:szCs w:val="24"/>
        </w:rPr>
      </w:pPr>
    </w:p>
    <w:sectPr w:rsidR="00FE197D" w:rsidSect="00BE2027">
      <w:pgSz w:w="16838" w:h="11906" w:orient="landscape"/>
      <w:pgMar w:top="907" w:right="340" w:bottom="454" w:left="3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169" w:rsidRDefault="004D5169" w:rsidP="00077E0F">
      <w:r>
        <w:separator/>
      </w:r>
    </w:p>
  </w:endnote>
  <w:endnote w:type="continuationSeparator" w:id="1">
    <w:p w:rsidR="004D5169" w:rsidRDefault="004D5169" w:rsidP="00077E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169" w:rsidRDefault="004D5169" w:rsidP="00077E0F">
      <w:r>
        <w:separator/>
      </w:r>
    </w:p>
  </w:footnote>
  <w:footnote w:type="continuationSeparator" w:id="1">
    <w:p w:rsidR="004D5169" w:rsidRDefault="004D5169" w:rsidP="00077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B1F"/>
    <w:multiLevelType w:val="hybridMultilevel"/>
    <w:tmpl w:val="58EA845E"/>
    <w:lvl w:ilvl="0" w:tplc="0409000B">
      <w:start w:val="1"/>
      <w:numFmt w:val="bullet"/>
      <w:lvlText w:val=""/>
      <w:lvlJc w:val="left"/>
      <w:pPr>
        <w:tabs>
          <w:tab w:val="num" w:pos="1409"/>
        </w:tabs>
        <w:ind w:left="1409"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2249"/>
        </w:tabs>
        <w:ind w:left="2249" w:hanging="420"/>
      </w:pPr>
      <w:rPr>
        <w:rFonts w:ascii="Wingdings" w:hAnsi="Wingdings" w:hint="default"/>
      </w:rPr>
    </w:lvl>
    <w:lvl w:ilvl="3" w:tplc="04090001" w:tentative="1">
      <w:start w:val="1"/>
      <w:numFmt w:val="bullet"/>
      <w:lvlText w:val=""/>
      <w:lvlJc w:val="left"/>
      <w:pPr>
        <w:tabs>
          <w:tab w:val="num" w:pos="2669"/>
        </w:tabs>
        <w:ind w:left="2669" w:hanging="420"/>
      </w:pPr>
      <w:rPr>
        <w:rFonts w:ascii="Wingdings" w:hAnsi="Wingdings" w:hint="default"/>
      </w:rPr>
    </w:lvl>
    <w:lvl w:ilvl="4" w:tplc="04090003" w:tentative="1">
      <w:start w:val="1"/>
      <w:numFmt w:val="bullet"/>
      <w:lvlText w:val=""/>
      <w:lvlJc w:val="left"/>
      <w:pPr>
        <w:tabs>
          <w:tab w:val="num" w:pos="3089"/>
        </w:tabs>
        <w:ind w:left="3089" w:hanging="420"/>
      </w:pPr>
      <w:rPr>
        <w:rFonts w:ascii="Wingdings" w:hAnsi="Wingdings" w:hint="default"/>
      </w:rPr>
    </w:lvl>
    <w:lvl w:ilvl="5" w:tplc="04090005" w:tentative="1">
      <w:start w:val="1"/>
      <w:numFmt w:val="bullet"/>
      <w:lvlText w:val=""/>
      <w:lvlJc w:val="left"/>
      <w:pPr>
        <w:tabs>
          <w:tab w:val="num" w:pos="3509"/>
        </w:tabs>
        <w:ind w:left="3509" w:hanging="420"/>
      </w:pPr>
      <w:rPr>
        <w:rFonts w:ascii="Wingdings" w:hAnsi="Wingdings" w:hint="default"/>
      </w:rPr>
    </w:lvl>
    <w:lvl w:ilvl="6" w:tplc="04090001" w:tentative="1">
      <w:start w:val="1"/>
      <w:numFmt w:val="bullet"/>
      <w:lvlText w:val=""/>
      <w:lvlJc w:val="left"/>
      <w:pPr>
        <w:tabs>
          <w:tab w:val="num" w:pos="3929"/>
        </w:tabs>
        <w:ind w:left="3929" w:hanging="420"/>
      </w:pPr>
      <w:rPr>
        <w:rFonts w:ascii="Wingdings" w:hAnsi="Wingdings" w:hint="default"/>
      </w:rPr>
    </w:lvl>
    <w:lvl w:ilvl="7" w:tplc="04090003" w:tentative="1">
      <w:start w:val="1"/>
      <w:numFmt w:val="bullet"/>
      <w:lvlText w:val=""/>
      <w:lvlJc w:val="left"/>
      <w:pPr>
        <w:tabs>
          <w:tab w:val="num" w:pos="4349"/>
        </w:tabs>
        <w:ind w:left="4349" w:hanging="420"/>
      </w:pPr>
      <w:rPr>
        <w:rFonts w:ascii="Wingdings" w:hAnsi="Wingdings" w:hint="default"/>
      </w:rPr>
    </w:lvl>
    <w:lvl w:ilvl="8" w:tplc="04090005" w:tentative="1">
      <w:start w:val="1"/>
      <w:numFmt w:val="bullet"/>
      <w:lvlText w:val=""/>
      <w:lvlJc w:val="left"/>
      <w:pPr>
        <w:tabs>
          <w:tab w:val="num" w:pos="4769"/>
        </w:tabs>
        <w:ind w:left="4769" w:hanging="420"/>
      </w:pPr>
      <w:rPr>
        <w:rFonts w:ascii="Wingdings" w:hAnsi="Wingdings" w:hint="default"/>
      </w:rPr>
    </w:lvl>
  </w:abstractNum>
  <w:abstractNum w:abstractNumId="1">
    <w:nsid w:val="166B4EFB"/>
    <w:multiLevelType w:val="hybridMultilevel"/>
    <w:tmpl w:val="7BA03BC0"/>
    <w:lvl w:ilvl="0" w:tplc="9246EA92">
      <w:start w:val="1"/>
      <w:numFmt w:val="decimal"/>
      <w:lvlText w:val="%1."/>
      <w:lvlJc w:val="left"/>
      <w:pPr>
        <w:tabs>
          <w:tab w:val="num" w:pos="630"/>
        </w:tabs>
        <w:ind w:left="630" w:hanging="420"/>
      </w:pPr>
      <w:rPr>
        <w:rFonts w:eastAsia="宋体" w:hint="eastAsia"/>
        <w:b/>
        <w:i w:val="0"/>
        <w:color w:val="auto"/>
        <w:sz w:val="21"/>
        <w:u w:val="none"/>
      </w:rPr>
    </w:lvl>
    <w:lvl w:ilvl="1" w:tplc="FFFFFFFF">
      <w:start w:val="1"/>
      <w:numFmt w:val="bullet"/>
      <w:lvlText w:val=""/>
      <w:lvlJc w:val="left"/>
      <w:pPr>
        <w:tabs>
          <w:tab w:val="num" w:pos="1155"/>
        </w:tabs>
        <w:ind w:left="1155" w:hanging="420"/>
      </w:pPr>
      <w:rPr>
        <w:rFonts w:ascii="Wingdings" w:hAnsi="Wingdings" w:hint="default"/>
      </w:rPr>
    </w:lvl>
    <w:lvl w:ilvl="2" w:tplc="FFFFFFFF">
      <w:start w:val="1"/>
      <w:numFmt w:val="bullet"/>
      <w:lvlText w:val=""/>
      <w:lvlJc w:val="left"/>
      <w:pPr>
        <w:tabs>
          <w:tab w:val="num" w:pos="1575"/>
        </w:tabs>
        <w:ind w:left="1575" w:hanging="420"/>
      </w:pPr>
      <w:rPr>
        <w:rFonts w:ascii="Wingdings" w:hAnsi="Wingdings" w:hint="default"/>
      </w:rPr>
    </w:lvl>
    <w:lvl w:ilvl="3" w:tplc="FFFFFFFF">
      <w:start w:val="1"/>
      <w:numFmt w:val="bullet"/>
      <w:lvlText w:val=""/>
      <w:lvlJc w:val="left"/>
      <w:pPr>
        <w:tabs>
          <w:tab w:val="num" w:pos="1995"/>
        </w:tabs>
        <w:ind w:left="1995" w:hanging="420"/>
      </w:pPr>
      <w:rPr>
        <w:rFonts w:ascii="Wingdings" w:hAnsi="Wingdings" w:hint="default"/>
      </w:rPr>
    </w:lvl>
    <w:lvl w:ilvl="4" w:tplc="FFFFFFFF">
      <w:start w:val="1"/>
      <w:numFmt w:val="bullet"/>
      <w:lvlText w:val=""/>
      <w:lvlJc w:val="left"/>
      <w:pPr>
        <w:tabs>
          <w:tab w:val="num" w:pos="2415"/>
        </w:tabs>
        <w:ind w:left="2415" w:hanging="420"/>
      </w:pPr>
      <w:rPr>
        <w:rFonts w:ascii="Wingdings" w:hAnsi="Wingdings" w:hint="default"/>
      </w:rPr>
    </w:lvl>
    <w:lvl w:ilvl="5" w:tplc="FFFFFFFF" w:tentative="1">
      <w:start w:val="1"/>
      <w:numFmt w:val="bullet"/>
      <w:lvlText w:val=""/>
      <w:lvlJc w:val="left"/>
      <w:pPr>
        <w:tabs>
          <w:tab w:val="num" w:pos="2835"/>
        </w:tabs>
        <w:ind w:left="2835" w:hanging="420"/>
      </w:pPr>
      <w:rPr>
        <w:rFonts w:ascii="Wingdings" w:hAnsi="Wingdings" w:hint="default"/>
      </w:rPr>
    </w:lvl>
    <w:lvl w:ilvl="6" w:tplc="FFFFFFFF" w:tentative="1">
      <w:start w:val="1"/>
      <w:numFmt w:val="bullet"/>
      <w:lvlText w:val=""/>
      <w:lvlJc w:val="left"/>
      <w:pPr>
        <w:tabs>
          <w:tab w:val="num" w:pos="3255"/>
        </w:tabs>
        <w:ind w:left="3255" w:hanging="420"/>
      </w:pPr>
      <w:rPr>
        <w:rFonts w:ascii="Wingdings" w:hAnsi="Wingdings" w:hint="default"/>
      </w:rPr>
    </w:lvl>
    <w:lvl w:ilvl="7" w:tplc="FFFFFFFF" w:tentative="1">
      <w:start w:val="1"/>
      <w:numFmt w:val="bullet"/>
      <w:lvlText w:val=""/>
      <w:lvlJc w:val="left"/>
      <w:pPr>
        <w:tabs>
          <w:tab w:val="num" w:pos="3675"/>
        </w:tabs>
        <w:ind w:left="3675" w:hanging="420"/>
      </w:pPr>
      <w:rPr>
        <w:rFonts w:ascii="Wingdings" w:hAnsi="Wingdings" w:hint="default"/>
      </w:rPr>
    </w:lvl>
    <w:lvl w:ilvl="8" w:tplc="FFFFFFFF" w:tentative="1">
      <w:start w:val="1"/>
      <w:numFmt w:val="bullet"/>
      <w:lvlText w:val=""/>
      <w:lvlJc w:val="left"/>
      <w:pPr>
        <w:tabs>
          <w:tab w:val="num" w:pos="4095"/>
        </w:tabs>
        <w:ind w:left="4095" w:hanging="420"/>
      </w:pPr>
      <w:rPr>
        <w:rFonts w:ascii="Wingdings" w:hAnsi="Wingdings" w:hint="default"/>
      </w:rPr>
    </w:lvl>
  </w:abstractNum>
  <w:abstractNum w:abstractNumId="2">
    <w:nsid w:val="298469C6"/>
    <w:multiLevelType w:val="hybridMultilevel"/>
    <w:tmpl w:val="186E7BB6"/>
    <w:lvl w:ilvl="0" w:tplc="0409000F">
      <w:start w:val="1"/>
      <w:numFmt w:val="decimal"/>
      <w:lvlText w:val="%1."/>
      <w:lvlJc w:val="left"/>
      <w:pPr>
        <w:tabs>
          <w:tab w:val="num" w:pos="525"/>
        </w:tabs>
        <w:ind w:left="525"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
    <w:nsid w:val="2C236A48"/>
    <w:multiLevelType w:val="hybridMultilevel"/>
    <w:tmpl w:val="40CC48B0"/>
    <w:lvl w:ilvl="0" w:tplc="E3664D14">
      <w:start w:val="1"/>
      <w:numFmt w:val="decimal"/>
      <w:lvlText w:val="%1、"/>
      <w:lvlJc w:val="left"/>
      <w:pPr>
        <w:ind w:left="36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4EE56DB"/>
    <w:multiLevelType w:val="hybridMultilevel"/>
    <w:tmpl w:val="FBFE0148"/>
    <w:lvl w:ilvl="0" w:tplc="FFFFFFFF">
      <w:start w:val="1"/>
      <w:numFmt w:val="decimal"/>
      <w:lvlText w:val="%1."/>
      <w:lvlJc w:val="left"/>
      <w:pPr>
        <w:tabs>
          <w:tab w:val="num" w:pos="525"/>
        </w:tabs>
        <w:ind w:left="525"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0B47FCE"/>
    <w:multiLevelType w:val="hybridMultilevel"/>
    <w:tmpl w:val="A07C6064"/>
    <w:lvl w:ilvl="0" w:tplc="FFFFFFFF">
      <w:start w:val="1"/>
      <w:numFmt w:val="decimal"/>
      <w:lvlText w:val="%1."/>
      <w:lvlJc w:val="left"/>
      <w:pPr>
        <w:tabs>
          <w:tab w:val="num" w:pos="525"/>
        </w:tabs>
        <w:ind w:left="525"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4AF41D6"/>
    <w:multiLevelType w:val="hybridMultilevel"/>
    <w:tmpl w:val="4ABA29FE"/>
    <w:lvl w:ilvl="0" w:tplc="0409000B">
      <w:start w:val="1"/>
      <w:numFmt w:val="bullet"/>
      <w:lvlText w:val=""/>
      <w:lvlJc w:val="left"/>
      <w:pPr>
        <w:tabs>
          <w:tab w:val="num" w:pos="840"/>
        </w:tabs>
        <w:ind w:left="84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4AE44674"/>
    <w:multiLevelType w:val="hybridMultilevel"/>
    <w:tmpl w:val="1D6869F6"/>
    <w:lvl w:ilvl="0" w:tplc="0409000B">
      <w:start w:val="1"/>
      <w:numFmt w:val="bullet"/>
      <w:lvlText w:val=""/>
      <w:lvlJc w:val="left"/>
      <w:pPr>
        <w:tabs>
          <w:tab w:val="num" w:pos="736"/>
        </w:tabs>
        <w:ind w:left="736" w:hanging="420"/>
      </w:pPr>
      <w:rPr>
        <w:rFonts w:ascii="Wingdings" w:hAnsi="Wingdings" w:hint="default"/>
      </w:rPr>
    </w:lvl>
    <w:lvl w:ilvl="1" w:tplc="961407DA">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
    <w:nsid w:val="5C237C95"/>
    <w:multiLevelType w:val="hybridMultilevel"/>
    <w:tmpl w:val="20D6159C"/>
    <w:lvl w:ilvl="0" w:tplc="53CAE3D8">
      <w:start w:val="1"/>
      <w:numFmt w:val="decimal"/>
      <w:lvlText w:val="%1、"/>
      <w:lvlJc w:val="left"/>
      <w:pPr>
        <w:ind w:left="405" w:hanging="405"/>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DAE31D3"/>
    <w:multiLevelType w:val="hybridMultilevel"/>
    <w:tmpl w:val="3A8C6772"/>
    <w:lvl w:ilvl="0" w:tplc="0409000B">
      <w:start w:val="1"/>
      <w:numFmt w:val="bullet"/>
      <w:lvlText w:val=""/>
      <w:lvlJc w:val="left"/>
      <w:pPr>
        <w:tabs>
          <w:tab w:val="num" w:pos="525"/>
        </w:tabs>
        <w:ind w:left="525" w:hanging="420"/>
      </w:pPr>
      <w:rPr>
        <w:rFonts w:ascii="Wingdings" w:hAnsi="Wingdings" w:hint="default"/>
      </w:r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0">
    <w:nsid w:val="6C6C2B72"/>
    <w:multiLevelType w:val="hybridMultilevel"/>
    <w:tmpl w:val="DF22D9A4"/>
    <w:lvl w:ilvl="0" w:tplc="04090009">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
    <w:nsid w:val="749F4D8F"/>
    <w:multiLevelType w:val="hybridMultilevel"/>
    <w:tmpl w:val="6A7CB1F4"/>
    <w:lvl w:ilvl="0" w:tplc="C3AC200C">
      <w:start w:val="1"/>
      <w:numFmt w:val="bullet"/>
      <w:lvlText w:val=""/>
      <w:lvlJc w:val="left"/>
      <w:pPr>
        <w:tabs>
          <w:tab w:val="num" w:pos="779"/>
        </w:tabs>
        <w:ind w:left="779" w:hanging="420"/>
      </w:pPr>
      <w:rPr>
        <w:rFonts w:ascii="Wingdings" w:hAnsi="Wingdings" w:hint="default"/>
      </w:rPr>
    </w:lvl>
    <w:lvl w:ilvl="1" w:tplc="04090003">
      <w:start w:val="1"/>
      <w:numFmt w:val="bullet"/>
      <w:lvlText w:val=""/>
      <w:lvlJc w:val="left"/>
      <w:pPr>
        <w:tabs>
          <w:tab w:val="num" w:pos="1199"/>
        </w:tabs>
        <w:ind w:left="1199" w:hanging="420"/>
      </w:pPr>
      <w:rPr>
        <w:rFonts w:ascii="Wingdings" w:hAnsi="Wingdings" w:hint="default"/>
      </w:rPr>
    </w:lvl>
    <w:lvl w:ilvl="2" w:tplc="04090005"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3" w:tentative="1">
      <w:start w:val="1"/>
      <w:numFmt w:val="bullet"/>
      <w:lvlText w:val=""/>
      <w:lvlJc w:val="left"/>
      <w:pPr>
        <w:tabs>
          <w:tab w:val="num" w:pos="2459"/>
        </w:tabs>
        <w:ind w:left="2459" w:hanging="420"/>
      </w:pPr>
      <w:rPr>
        <w:rFonts w:ascii="Wingdings" w:hAnsi="Wingdings" w:hint="default"/>
      </w:rPr>
    </w:lvl>
    <w:lvl w:ilvl="5" w:tplc="04090005"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3" w:tentative="1">
      <w:start w:val="1"/>
      <w:numFmt w:val="bullet"/>
      <w:lvlText w:val=""/>
      <w:lvlJc w:val="left"/>
      <w:pPr>
        <w:tabs>
          <w:tab w:val="num" w:pos="3719"/>
        </w:tabs>
        <w:ind w:left="3719" w:hanging="420"/>
      </w:pPr>
      <w:rPr>
        <w:rFonts w:ascii="Wingdings" w:hAnsi="Wingdings" w:hint="default"/>
      </w:rPr>
    </w:lvl>
    <w:lvl w:ilvl="8" w:tplc="04090005" w:tentative="1">
      <w:start w:val="1"/>
      <w:numFmt w:val="bullet"/>
      <w:lvlText w:val=""/>
      <w:lvlJc w:val="left"/>
      <w:pPr>
        <w:tabs>
          <w:tab w:val="num" w:pos="4139"/>
        </w:tabs>
        <w:ind w:left="4139" w:hanging="420"/>
      </w:pPr>
      <w:rPr>
        <w:rFonts w:ascii="Wingdings" w:hAnsi="Wingdings" w:hint="default"/>
      </w:rPr>
    </w:lvl>
  </w:abstractNum>
  <w:abstractNum w:abstractNumId="12">
    <w:nsid w:val="776D7169"/>
    <w:multiLevelType w:val="hybridMultilevel"/>
    <w:tmpl w:val="2CC04078"/>
    <w:lvl w:ilvl="0" w:tplc="48AC5A2C">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FC34F60C">
      <w:start w:val="1"/>
      <w:numFmt w:val="bullet"/>
      <w:lvlText w:val=""/>
      <w:lvlJc w:val="left"/>
      <w:pPr>
        <w:tabs>
          <w:tab w:val="num" w:pos="1260"/>
        </w:tabs>
        <w:ind w:left="1260" w:hanging="420"/>
      </w:pPr>
      <w:rPr>
        <w:rFonts w:ascii="Wingdings" w:hAnsi="Wingdings" w:hint="default"/>
      </w:rPr>
    </w:lvl>
    <w:lvl w:ilvl="3" w:tplc="0409000B"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D033BAE"/>
    <w:multiLevelType w:val="hybridMultilevel"/>
    <w:tmpl w:val="8882697E"/>
    <w:lvl w:ilvl="0" w:tplc="988491D0">
      <w:start w:val="1"/>
      <w:numFmt w:val="bullet"/>
      <w:pStyle w:val="a"/>
      <w:lvlText w:val=""/>
      <w:lvlJc w:val="left"/>
      <w:pPr>
        <w:tabs>
          <w:tab w:val="num" w:pos="1260"/>
        </w:tabs>
        <w:ind w:left="1260" w:hanging="420"/>
      </w:pPr>
      <w:rPr>
        <w:rFonts w:ascii="Wingdings" w:hAnsi="Wingdings" w:hint="default"/>
        <w:color w:val="auto"/>
      </w:rPr>
    </w:lvl>
    <w:lvl w:ilvl="1" w:tplc="4A6ECA04" w:tentative="1">
      <w:start w:val="1"/>
      <w:numFmt w:val="bullet"/>
      <w:lvlText w:val=""/>
      <w:lvlJc w:val="left"/>
      <w:pPr>
        <w:tabs>
          <w:tab w:val="num" w:pos="1260"/>
        </w:tabs>
        <w:ind w:left="1260" w:hanging="420"/>
      </w:pPr>
      <w:rPr>
        <w:rFonts w:ascii="Wingdings" w:hAnsi="Wingdings" w:hint="default"/>
      </w:rPr>
    </w:lvl>
    <w:lvl w:ilvl="2" w:tplc="9DB6F4EC" w:tentative="1">
      <w:start w:val="1"/>
      <w:numFmt w:val="bullet"/>
      <w:lvlText w:val=""/>
      <w:lvlJc w:val="left"/>
      <w:pPr>
        <w:tabs>
          <w:tab w:val="num" w:pos="1680"/>
        </w:tabs>
        <w:ind w:left="1680" w:hanging="420"/>
      </w:pPr>
      <w:rPr>
        <w:rFonts w:ascii="Wingdings" w:hAnsi="Wingdings" w:hint="default"/>
      </w:rPr>
    </w:lvl>
    <w:lvl w:ilvl="3" w:tplc="881065E2" w:tentative="1">
      <w:start w:val="1"/>
      <w:numFmt w:val="bullet"/>
      <w:lvlText w:val=""/>
      <w:lvlJc w:val="left"/>
      <w:pPr>
        <w:tabs>
          <w:tab w:val="num" w:pos="2100"/>
        </w:tabs>
        <w:ind w:left="2100" w:hanging="420"/>
      </w:pPr>
      <w:rPr>
        <w:rFonts w:ascii="Wingdings" w:hAnsi="Wingdings" w:hint="default"/>
      </w:rPr>
    </w:lvl>
    <w:lvl w:ilvl="4" w:tplc="EE7A50B6" w:tentative="1">
      <w:start w:val="1"/>
      <w:numFmt w:val="bullet"/>
      <w:lvlText w:val=""/>
      <w:lvlJc w:val="left"/>
      <w:pPr>
        <w:tabs>
          <w:tab w:val="num" w:pos="2520"/>
        </w:tabs>
        <w:ind w:left="2520" w:hanging="420"/>
      </w:pPr>
      <w:rPr>
        <w:rFonts w:ascii="Wingdings" w:hAnsi="Wingdings" w:hint="default"/>
      </w:rPr>
    </w:lvl>
    <w:lvl w:ilvl="5" w:tplc="EA7411F6" w:tentative="1">
      <w:start w:val="1"/>
      <w:numFmt w:val="bullet"/>
      <w:lvlText w:val=""/>
      <w:lvlJc w:val="left"/>
      <w:pPr>
        <w:tabs>
          <w:tab w:val="num" w:pos="2940"/>
        </w:tabs>
        <w:ind w:left="2940" w:hanging="420"/>
      </w:pPr>
      <w:rPr>
        <w:rFonts w:ascii="Wingdings" w:hAnsi="Wingdings" w:hint="default"/>
      </w:rPr>
    </w:lvl>
    <w:lvl w:ilvl="6" w:tplc="77428358" w:tentative="1">
      <w:start w:val="1"/>
      <w:numFmt w:val="bullet"/>
      <w:lvlText w:val=""/>
      <w:lvlJc w:val="left"/>
      <w:pPr>
        <w:tabs>
          <w:tab w:val="num" w:pos="3360"/>
        </w:tabs>
        <w:ind w:left="3360" w:hanging="420"/>
      </w:pPr>
      <w:rPr>
        <w:rFonts w:ascii="Wingdings" w:hAnsi="Wingdings" w:hint="default"/>
      </w:rPr>
    </w:lvl>
    <w:lvl w:ilvl="7" w:tplc="303CB682" w:tentative="1">
      <w:start w:val="1"/>
      <w:numFmt w:val="bullet"/>
      <w:lvlText w:val=""/>
      <w:lvlJc w:val="left"/>
      <w:pPr>
        <w:tabs>
          <w:tab w:val="num" w:pos="3780"/>
        </w:tabs>
        <w:ind w:left="3780" w:hanging="420"/>
      </w:pPr>
      <w:rPr>
        <w:rFonts w:ascii="Wingdings" w:hAnsi="Wingdings" w:hint="default"/>
      </w:rPr>
    </w:lvl>
    <w:lvl w:ilvl="8" w:tplc="147071C2" w:tentative="1">
      <w:start w:val="1"/>
      <w:numFmt w:val="bullet"/>
      <w:lvlText w:val=""/>
      <w:lvlJc w:val="left"/>
      <w:pPr>
        <w:tabs>
          <w:tab w:val="num" w:pos="4200"/>
        </w:tabs>
        <w:ind w:left="4200" w:hanging="42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7"/>
  </w:num>
  <w:num w:numId="5">
    <w:abstractNumId w:val="9"/>
  </w:num>
  <w:num w:numId="6">
    <w:abstractNumId w:val="4"/>
  </w:num>
  <w:num w:numId="7">
    <w:abstractNumId w:val="5"/>
  </w:num>
  <w:num w:numId="8">
    <w:abstractNumId w:val="10"/>
  </w:num>
  <w:num w:numId="9">
    <w:abstractNumId w:val="12"/>
  </w:num>
  <w:num w:numId="10">
    <w:abstractNumId w:val="2"/>
  </w:num>
  <w:num w:numId="11">
    <w:abstractNumId w:val="13"/>
  </w:num>
  <w:num w:numId="12">
    <w:abstractNumId w:val="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D68"/>
    <w:rsid w:val="00004C00"/>
    <w:rsid w:val="00077E0F"/>
    <w:rsid w:val="00082498"/>
    <w:rsid w:val="00093C71"/>
    <w:rsid w:val="000955CF"/>
    <w:rsid w:val="00192E2D"/>
    <w:rsid w:val="001A0E8F"/>
    <w:rsid w:val="00264A34"/>
    <w:rsid w:val="002847CB"/>
    <w:rsid w:val="002C7665"/>
    <w:rsid w:val="00331D44"/>
    <w:rsid w:val="003807B7"/>
    <w:rsid w:val="00410F87"/>
    <w:rsid w:val="00440DF7"/>
    <w:rsid w:val="004714D9"/>
    <w:rsid w:val="004C0F1A"/>
    <w:rsid w:val="004D5169"/>
    <w:rsid w:val="004F7D6A"/>
    <w:rsid w:val="00536D68"/>
    <w:rsid w:val="005A0BB4"/>
    <w:rsid w:val="005F56CA"/>
    <w:rsid w:val="00681D7E"/>
    <w:rsid w:val="006A3892"/>
    <w:rsid w:val="006D531A"/>
    <w:rsid w:val="0070000B"/>
    <w:rsid w:val="007207E7"/>
    <w:rsid w:val="00766702"/>
    <w:rsid w:val="00782E58"/>
    <w:rsid w:val="00793D9A"/>
    <w:rsid w:val="00830BE9"/>
    <w:rsid w:val="0085136D"/>
    <w:rsid w:val="0085797E"/>
    <w:rsid w:val="008B07F7"/>
    <w:rsid w:val="009234F2"/>
    <w:rsid w:val="00936557"/>
    <w:rsid w:val="009627F7"/>
    <w:rsid w:val="0097666B"/>
    <w:rsid w:val="00A03C94"/>
    <w:rsid w:val="00A70CAB"/>
    <w:rsid w:val="00B444AF"/>
    <w:rsid w:val="00B4503B"/>
    <w:rsid w:val="00BA20C9"/>
    <w:rsid w:val="00BB0459"/>
    <w:rsid w:val="00BB1659"/>
    <w:rsid w:val="00BE2027"/>
    <w:rsid w:val="00C61EF4"/>
    <w:rsid w:val="00CB0D34"/>
    <w:rsid w:val="00CF43A7"/>
    <w:rsid w:val="00D02B03"/>
    <w:rsid w:val="00D721A7"/>
    <w:rsid w:val="00DD5A0F"/>
    <w:rsid w:val="00E0503F"/>
    <w:rsid w:val="00E7524A"/>
    <w:rsid w:val="00F71468"/>
    <w:rsid w:val="00FE197D"/>
    <w:rsid w:val="00FE58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6D68"/>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077E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077E0F"/>
    <w:rPr>
      <w:rFonts w:ascii="Times New Roman" w:eastAsia="宋体" w:hAnsi="Times New Roman" w:cs="Times New Roman"/>
      <w:sz w:val="18"/>
      <w:szCs w:val="18"/>
    </w:rPr>
  </w:style>
  <w:style w:type="paragraph" w:styleId="a5">
    <w:name w:val="footer"/>
    <w:basedOn w:val="a0"/>
    <w:link w:val="Char0"/>
    <w:uiPriority w:val="99"/>
    <w:semiHidden/>
    <w:unhideWhenUsed/>
    <w:rsid w:val="00077E0F"/>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077E0F"/>
    <w:rPr>
      <w:rFonts w:ascii="Times New Roman" w:eastAsia="宋体" w:hAnsi="Times New Roman" w:cs="Times New Roman"/>
      <w:sz w:val="18"/>
      <w:szCs w:val="18"/>
    </w:rPr>
  </w:style>
  <w:style w:type="paragraph" w:styleId="a6">
    <w:name w:val="List Paragraph"/>
    <w:basedOn w:val="a0"/>
    <w:uiPriority w:val="34"/>
    <w:qFormat/>
    <w:rsid w:val="00BE2027"/>
    <w:pPr>
      <w:ind w:firstLineChars="200" w:firstLine="420"/>
    </w:pPr>
  </w:style>
  <w:style w:type="paragraph" w:customStyle="1" w:styleId="10">
    <w:name w:val="标题10（目标）"/>
    <w:basedOn w:val="a0"/>
    <w:autoRedefine/>
    <w:rsid w:val="002C7665"/>
    <w:pPr>
      <w:spacing w:before="40" w:after="40" w:line="360" w:lineRule="atLeast"/>
      <w:ind w:left="840" w:firstLine="420"/>
    </w:pPr>
    <w:rPr>
      <w:rFonts w:ascii="宋体" w:hAnsi="宋体"/>
      <w:color w:val="000000"/>
      <w:szCs w:val="21"/>
    </w:rPr>
  </w:style>
  <w:style w:type="paragraph" w:customStyle="1" w:styleId="2125">
    <w:name w:val="样式 左 首行缩进:  2 字符 段前: 自动 段后: 自动 行距: 多倍行距 1.25 字行"/>
    <w:basedOn w:val="a0"/>
    <w:link w:val="2125Char"/>
    <w:rsid w:val="005F56CA"/>
    <w:pPr>
      <w:spacing w:afterLines="50" w:line="300" w:lineRule="auto"/>
      <w:ind w:firstLineChars="200" w:firstLine="200"/>
      <w:jc w:val="left"/>
    </w:pPr>
    <w:rPr>
      <w:rFonts w:cs="宋体"/>
    </w:rPr>
  </w:style>
  <w:style w:type="character" w:customStyle="1" w:styleId="2125Char">
    <w:name w:val="样式 左 首行缩进:  2 字符 段前: 自动 段后: 自动 行距: 多倍行距 1.25 字行 Char"/>
    <w:link w:val="2125"/>
    <w:rsid w:val="005F56CA"/>
    <w:rPr>
      <w:rFonts w:ascii="Times New Roman" w:eastAsia="宋体" w:hAnsi="Times New Roman" w:cs="宋体"/>
      <w:szCs w:val="20"/>
    </w:rPr>
  </w:style>
  <w:style w:type="paragraph" w:customStyle="1" w:styleId="a">
    <w:name w:val="提示样式"/>
    <w:basedOn w:val="a0"/>
    <w:rsid w:val="005F56CA"/>
    <w:pPr>
      <w:numPr>
        <w:numId w:val="11"/>
      </w:numPr>
      <w:spacing w:before="100" w:beforeAutospacing="1" w:after="100" w:afterAutospacing="1"/>
    </w:pPr>
    <w:rPr>
      <w:szCs w:val="24"/>
    </w:rPr>
  </w:style>
  <w:style w:type="paragraph" w:customStyle="1" w:styleId="2066">
    <w:name w:val="样式 样式 样式 样式 样式 首行缩进:  2 字符 + 左  0 字符 + 左侧:  6 字符 + 左侧:  6 字符 + 左..."/>
    <w:basedOn w:val="a0"/>
    <w:rsid w:val="005F56CA"/>
    <w:pPr>
      <w:spacing w:afterLines="50"/>
      <w:ind w:firstLineChars="200" w:firstLine="200"/>
      <w:jc w:val="left"/>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yccg</dc:creator>
  <cp:lastModifiedBy>yccg</cp:lastModifiedBy>
  <cp:revision>35</cp:revision>
  <dcterms:created xsi:type="dcterms:W3CDTF">2019-12-12T04:42:00Z</dcterms:created>
  <dcterms:modified xsi:type="dcterms:W3CDTF">2019-12-26T03:56:00Z</dcterms:modified>
</cp:coreProperties>
</file>